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1FEDF">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center"/>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东南大学人文学院研究生学业奖学金评审细则</w:t>
      </w:r>
    </w:p>
    <w:p w14:paraId="3B63A13C">
      <w:pPr>
        <w:pStyle w:val="3"/>
        <w:keepNext w:val="0"/>
        <w:keepLines w:val="0"/>
        <w:pageBreakBefore w:val="0"/>
        <w:kinsoku/>
        <w:wordWrap/>
        <w:overflowPunct/>
        <w:topLinePunct w:val="0"/>
        <w:autoSpaceDE w:val="0"/>
        <w:autoSpaceDN w:val="0"/>
        <w:bidi w:val="0"/>
        <w:adjustRightInd/>
        <w:snapToGrid/>
        <w:spacing w:before="6" w:line="360" w:lineRule="exact"/>
        <w:ind w:left="0"/>
        <w:jc w:val="both"/>
        <w:textAlignment w:val="auto"/>
        <w:rPr>
          <w:rFonts w:hint="eastAsia" w:ascii="Times New Roman" w:hAnsi="Times New Roman" w:eastAsia="宋体" w:cs="宋体"/>
          <w:color w:val="auto"/>
          <w:sz w:val="37"/>
        </w:rPr>
      </w:pPr>
    </w:p>
    <w:p w14:paraId="1E154050">
      <w:pPr>
        <w:pStyle w:val="3"/>
        <w:keepNext w:val="0"/>
        <w:keepLines w:val="0"/>
        <w:pageBreakBefore w:val="0"/>
        <w:kinsoku/>
        <w:wordWrap/>
        <w:overflowPunct/>
        <w:topLinePunct w:val="0"/>
        <w:autoSpaceDE w:val="0"/>
        <w:autoSpaceDN w:val="0"/>
        <w:bidi w:val="0"/>
        <w:adjustRightInd/>
        <w:snapToGrid/>
        <w:spacing w:line="360" w:lineRule="exact"/>
        <w:ind w:right="209" w:firstLine="419"/>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4"/>
        </w:rPr>
        <w:t>根据《东南大学研究生奖助学金管理办法（修订）》（校发〔2022〕193</w:t>
      </w:r>
      <w:r>
        <w:rPr>
          <w:rFonts w:hint="eastAsia" w:ascii="Times New Roman" w:hAnsi="Times New Roman" w:cs="宋体"/>
          <w:color w:val="auto"/>
          <w:spacing w:val="-4"/>
          <w:lang w:val="en-US" w:eastAsia="zh-CN"/>
        </w:rPr>
        <w:t xml:space="preserve"> </w:t>
      </w:r>
      <w:r>
        <w:rPr>
          <w:rFonts w:hint="eastAsia" w:ascii="Times New Roman" w:hAnsi="Times New Roman" w:eastAsia="宋体" w:cs="宋体"/>
          <w:color w:val="auto"/>
          <w:spacing w:val="-4"/>
        </w:rPr>
        <w:t>号）和《东南大学研究生学业奖学金管理暂行办法（修订）》（校发〔2020〕126 号）</w:t>
      </w:r>
      <w:r>
        <w:rPr>
          <w:rFonts w:hint="eastAsia" w:ascii="Times New Roman" w:hAnsi="Times New Roman" w:eastAsia="宋体" w:cs="宋体"/>
          <w:color w:val="auto"/>
          <w:spacing w:val="-3"/>
        </w:rPr>
        <w:t>文件要求，结合学校工作安排，</w:t>
      </w:r>
      <w:r>
        <w:rPr>
          <w:rFonts w:hint="eastAsia" w:ascii="Times New Roman" w:hAnsi="Times New Roman" w:eastAsia="宋体" w:cs="宋体"/>
          <w:color w:val="auto"/>
          <w:spacing w:val="-4"/>
        </w:rPr>
        <w:t>人文学院为提高研究生培养质量，激励研究生勤奋学习、潜心科研、勇于创新、积极进取，</w:t>
      </w:r>
      <w:r>
        <w:rPr>
          <w:rFonts w:hint="eastAsia" w:ascii="Times New Roman" w:hAnsi="Times New Roman" w:eastAsia="宋体" w:cs="宋体"/>
          <w:color w:val="auto"/>
          <w:spacing w:val="-5"/>
        </w:rPr>
        <w:t>奖励支持表现良好的研究生更好地完成学业，特制定本规则。</w:t>
      </w:r>
      <w:r>
        <w:rPr>
          <w:rFonts w:hint="eastAsia" w:ascii="Times New Roman" w:hAnsi="Times New Roman" w:eastAsia="宋体" w:cs="宋体"/>
          <w:color w:val="auto"/>
        </w:rPr>
        <w:t xml:space="preserve"> </w:t>
      </w:r>
    </w:p>
    <w:p w14:paraId="569A4905">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一、参评对象及基本条件 </w:t>
      </w:r>
    </w:p>
    <w:p w14:paraId="0DE166D4">
      <w:pPr>
        <w:pStyle w:val="7"/>
        <w:keepNext w:val="0"/>
        <w:keepLines w:val="0"/>
        <w:pageBreakBefore w:val="0"/>
        <w:widowControl w:val="0"/>
        <w:numPr>
          <w:ilvl w:val="0"/>
          <w:numId w:val="1"/>
        </w:numPr>
        <w:tabs>
          <w:tab w:val="left" w:pos="479"/>
        </w:tabs>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9"/>
          <w:sz w:val="21"/>
        </w:rPr>
        <w:t>参评对象：</w:t>
      </w:r>
    </w:p>
    <w:p w14:paraId="693EB8D7">
      <w:pPr>
        <w:pStyle w:val="7"/>
        <w:keepNext w:val="0"/>
        <w:keepLines w:val="0"/>
        <w:pageBreakBefore w:val="0"/>
        <w:widowControl w:val="0"/>
        <w:numPr>
          <w:ilvl w:val="0"/>
          <w:numId w:val="0"/>
        </w:numPr>
        <w:tabs>
          <w:tab w:val="left" w:pos="479"/>
        </w:tabs>
        <w:kinsoku/>
        <w:wordWrap/>
        <w:overflowPunct/>
        <w:topLinePunct w:val="0"/>
        <w:autoSpaceDE w:val="0"/>
        <w:autoSpaceDN w:val="0"/>
        <w:bidi w:val="0"/>
        <w:adjustRightInd/>
        <w:snapToGrid/>
        <w:spacing w:before="0" w:after="0" w:line="360" w:lineRule="exact"/>
        <w:ind w:left="0" w:leftChars="0" w:right="0" w:rightChars="0" w:firstLine="384"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9"/>
          <w:sz w:val="21"/>
        </w:rPr>
        <w:t>纳入全国研究生招生计划的全日制非定向就业研究生，高层次人才强军计划、少数民族高层次骨干人才计划等国家规定资助的研究生，且在规定的学制年限内，具有本校研究生学籍。</w:t>
      </w:r>
    </w:p>
    <w:p w14:paraId="34E9487E">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 xml:space="preserve">春季入学、符合参评条件且春季尚未参评学业奖学金的博士研究生。 </w:t>
      </w:r>
    </w:p>
    <w:p w14:paraId="2E4E62D0">
      <w:pPr>
        <w:pStyle w:val="7"/>
        <w:keepNext w:val="0"/>
        <w:keepLines w:val="0"/>
        <w:pageBreakBefore w:val="0"/>
        <w:widowControl w:val="0"/>
        <w:numPr>
          <w:ilvl w:val="0"/>
          <w:numId w:val="1"/>
        </w:numPr>
        <w:tabs>
          <w:tab w:val="left" w:pos="479"/>
        </w:tabs>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4"/>
          <w:sz w:val="21"/>
        </w:rPr>
        <w:t>申请基本条件</w:t>
      </w:r>
    </w:p>
    <w:p w14:paraId="3FB3BA45">
      <w:pPr>
        <w:pStyle w:val="7"/>
        <w:keepNext w:val="0"/>
        <w:keepLines w:val="0"/>
        <w:pageBreakBefore w:val="0"/>
        <w:widowControl w:val="0"/>
        <w:numPr>
          <w:ilvl w:val="0"/>
          <w:numId w:val="2"/>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5"/>
          <w:sz w:val="21"/>
        </w:rPr>
      </w:pPr>
      <w:r>
        <w:rPr>
          <w:rFonts w:hint="eastAsia" w:ascii="Times New Roman" w:hAnsi="Times New Roman" w:eastAsia="宋体" w:cs="宋体"/>
          <w:color w:val="auto"/>
          <w:spacing w:val="-5"/>
          <w:sz w:val="21"/>
        </w:rPr>
        <w:t>具有中华人民共和国国籍；</w:t>
      </w:r>
    </w:p>
    <w:p w14:paraId="741DF013">
      <w:pPr>
        <w:pStyle w:val="7"/>
        <w:keepNext w:val="0"/>
        <w:keepLines w:val="0"/>
        <w:pageBreakBefore w:val="0"/>
        <w:widowControl w:val="0"/>
        <w:numPr>
          <w:ilvl w:val="0"/>
          <w:numId w:val="2"/>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5"/>
          <w:sz w:val="21"/>
        </w:rPr>
      </w:pPr>
      <w:r>
        <w:rPr>
          <w:rFonts w:hint="eastAsia" w:ascii="Times New Roman" w:hAnsi="Times New Roman" w:eastAsia="宋体" w:cs="宋体"/>
          <w:color w:val="auto"/>
          <w:spacing w:val="-5"/>
          <w:sz w:val="21"/>
        </w:rPr>
        <w:t>热爱社会主义祖国，拥护中国共产党的领导；</w:t>
      </w:r>
    </w:p>
    <w:p w14:paraId="261427B7">
      <w:pPr>
        <w:pStyle w:val="7"/>
        <w:keepNext w:val="0"/>
        <w:keepLines w:val="0"/>
        <w:pageBreakBefore w:val="0"/>
        <w:widowControl w:val="0"/>
        <w:numPr>
          <w:ilvl w:val="0"/>
          <w:numId w:val="2"/>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5"/>
          <w:sz w:val="21"/>
        </w:rPr>
      </w:pPr>
      <w:r>
        <w:rPr>
          <w:rFonts w:hint="eastAsia" w:ascii="Times New Roman" w:hAnsi="Times New Roman" w:eastAsia="宋体" w:cs="宋体"/>
          <w:color w:val="auto"/>
          <w:spacing w:val="-5"/>
          <w:sz w:val="21"/>
        </w:rPr>
        <w:t>遵守宪法和法律，遵守高等学校规章制度；</w:t>
      </w:r>
    </w:p>
    <w:p w14:paraId="6532D181">
      <w:pPr>
        <w:pStyle w:val="7"/>
        <w:keepNext w:val="0"/>
        <w:keepLines w:val="0"/>
        <w:pageBreakBefore w:val="0"/>
        <w:widowControl w:val="0"/>
        <w:numPr>
          <w:ilvl w:val="0"/>
          <w:numId w:val="2"/>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5"/>
          <w:sz w:val="21"/>
        </w:rPr>
      </w:pPr>
      <w:r>
        <w:rPr>
          <w:rFonts w:hint="eastAsia" w:ascii="Times New Roman" w:hAnsi="Times New Roman" w:eastAsia="宋体" w:cs="宋体"/>
          <w:color w:val="auto"/>
          <w:spacing w:val="-5"/>
          <w:sz w:val="21"/>
        </w:rPr>
        <w:t>诚实守信，品学兼优；</w:t>
      </w:r>
    </w:p>
    <w:p w14:paraId="22541A24">
      <w:pPr>
        <w:pStyle w:val="7"/>
        <w:keepNext w:val="0"/>
        <w:keepLines w:val="0"/>
        <w:pageBreakBefore w:val="0"/>
        <w:widowControl w:val="0"/>
        <w:numPr>
          <w:ilvl w:val="0"/>
          <w:numId w:val="2"/>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5"/>
          <w:sz w:val="21"/>
        </w:rPr>
        <w:t>积极参与科学研究和社会实践。</w:t>
      </w:r>
    </w:p>
    <w:p w14:paraId="5908E4D3">
      <w:pPr>
        <w:pStyle w:val="7"/>
        <w:keepNext w:val="0"/>
        <w:keepLines w:val="0"/>
        <w:pageBreakBefore w:val="0"/>
        <w:widowControl w:val="0"/>
        <w:numPr>
          <w:ilvl w:val="0"/>
          <w:numId w:val="1"/>
        </w:numPr>
        <w:tabs>
          <w:tab w:val="left" w:pos="479"/>
        </w:tabs>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有下列情况之一者，不得申请：</w:t>
      </w:r>
    </w:p>
    <w:p w14:paraId="7F96AF9B">
      <w:pPr>
        <w:pStyle w:val="7"/>
        <w:keepNext w:val="0"/>
        <w:keepLines w:val="0"/>
        <w:pageBreakBefore w:val="0"/>
        <w:widowControl w:val="0"/>
        <w:numPr>
          <w:ilvl w:val="0"/>
          <w:numId w:val="3"/>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未完成学籍注册者；</w:t>
      </w:r>
    </w:p>
    <w:p w14:paraId="1A780451">
      <w:pPr>
        <w:pStyle w:val="7"/>
        <w:keepNext w:val="0"/>
        <w:keepLines w:val="0"/>
        <w:pageBreakBefore w:val="0"/>
        <w:widowControl w:val="0"/>
        <w:numPr>
          <w:ilvl w:val="0"/>
          <w:numId w:val="3"/>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退学研究生</w:t>
      </w:r>
    </w:p>
    <w:p w14:paraId="540AC3A7">
      <w:pPr>
        <w:pStyle w:val="7"/>
        <w:keepNext w:val="0"/>
        <w:keepLines w:val="0"/>
        <w:pageBreakBefore w:val="0"/>
        <w:widowControl w:val="0"/>
        <w:numPr>
          <w:ilvl w:val="0"/>
          <w:numId w:val="3"/>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受警告及以上处分，且处分未解除者；</w:t>
      </w:r>
    </w:p>
    <w:p w14:paraId="503E6A9A">
      <w:pPr>
        <w:pStyle w:val="7"/>
        <w:keepNext w:val="0"/>
        <w:keepLines w:val="0"/>
        <w:pageBreakBefore w:val="0"/>
        <w:widowControl w:val="0"/>
        <w:numPr>
          <w:ilvl w:val="0"/>
          <w:numId w:val="3"/>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学术行为不端者；</w:t>
      </w:r>
    </w:p>
    <w:p w14:paraId="5414DB9C">
      <w:pPr>
        <w:pStyle w:val="7"/>
        <w:keepNext w:val="0"/>
        <w:keepLines w:val="0"/>
        <w:pageBreakBefore w:val="0"/>
        <w:widowControl w:val="0"/>
        <w:numPr>
          <w:ilvl w:val="0"/>
          <w:numId w:val="3"/>
        </w:numPr>
        <w:tabs>
          <w:tab w:val="left" w:pos="638"/>
          <w:tab w:val="clear" w:pos="420"/>
        </w:tabs>
        <w:kinsoku/>
        <w:wordWrap/>
        <w:overflowPunct/>
        <w:topLinePunct w:val="0"/>
        <w:autoSpaceDE w:val="0"/>
        <w:autoSpaceDN w:val="0"/>
        <w:bidi w:val="0"/>
        <w:adjustRightInd/>
        <w:snapToGrid/>
        <w:spacing w:before="0" w:after="0" w:line="360" w:lineRule="exact"/>
        <w:ind w:left="440" w:leftChars="0" w:right="0" w:firstLine="0" w:firstLineChars="0"/>
        <w:jc w:val="both"/>
        <w:textAlignment w:val="auto"/>
        <w:rPr>
          <w:rFonts w:hint="eastAsia" w:ascii="Times New Roman" w:hAnsi="Times New Roman" w:eastAsia="宋体" w:cs="宋体"/>
          <w:color w:val="auto"/>
          <w:spacing w:val="-5"/>
          <w:sz w:val="21"/>
        </w:rPr>
      </w:pPr>
      <w:r>
        <w:rPr>
          <w:rFonts w:hint="eastAsia" w:ascii="Times New Roman" w:hAnsi="Times New Roman" w:eastAsia="宋体" w:cs="宋体"/>
          <w:color w:val="auto"/>
          <w:spacing w:val="-4"/>
          <w:sz w:val="21"/>
        </w:rPr>
        <w:t>发生其他不适宜继续享受学业奖学金的行为或情况者。</w:t>
      </w:r>
    </w:p>
    <w:p w14:paraId="53F5187F">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二、名额分配</w:t>
      </w:r>
    </w:p>
    <w:p w14:paraId="2CC36B94">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111" w:firstLine="52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符合参评条件的各年级硕士研究生各等级奖学金名额分配按人数比例分到各</w:t>
      </w:r>
      <w:r>
        <w:rPr>
          <w:rFonts w:hint="eastAsia" w:ascii="Times New Roman" w:hAnsi="Times New Roman" w:cs="宋体"/>
          <w:color w:val="auto"/>
          <w:lang w:val="en-US" w:eastAsia="zh-CN"/>
        </w:rPr>
        <w:t>一</w:t>
      </w:r>
      <w:r>
        <w:rPr>
          <w:rFonts w:hint="eastAsia" w:ascii="Times New Roman" w:hAnsi="Times New Roman" w:eastAsia="宋体" w:cs="宋体"/>
          <w:color w:val="auto"/>
        </w:rPr>
        <w:t>级学科；一等奖因总名额较少，在全院范围内统一调配。符合参评条件的秋季入学博士新生统一享受新生奖学金，覆盖面 100%。</w:t>
      </w:r>
    </w:p>
    <w:p w14:paraId="1CA6241E">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三、奖学金评定标准 </w:t>
      </w:r>
    </w:p>
    <w:p w14:paraId="3FF62FE8">
      <w:pPr>
        <w:pStyle w:val="7"/>
        <w:keepNext w:val="0"/>
        <w:keepLines w:val="0"/>
        <w:pageBreakBefore w:val="0"/>
        <w:widowControl w:val="0"/>
        <w:numPr>
          <w:ilvl w:val="0"/>
          <w:numId w:val="4"/>
        </w:numPr>
        <w:tabs>
          <w:tab w:val="left" w:pos="479"/>
        </w:tabs>
        <w:kinsoku/>
        <w:wordWrap/>
        <w:overflowPunct/>
        <w:topLinePunct w:val="0"/>
        <w:autoSpaceDE w:val="0"/>
        <w:autoSpaceDN w:val="0"/>
        <w:bidi w:val="0"/>
        <w:adjustRightInd/>
        <w:snapToGrid/>
        <w:spacing w:before="0" w:after="0" w:line="360" w:lineRule="exact"/>
        <w:ind w:left="-420" w:leftChars="0" w:right="0" w:rightChars="0" w:firstLine="420"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硕士研究生</w:t>
      </w:r>
    </w:p>
    <w:p w14:paraId="2CC94D94">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2"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7"/>
        </w:rPr>
        <w:t>第一学年硕士研究生学业奖学金按照研究生入学考试成绩</w:t>
      </w:r>
      <w:r>
        <w:rPr>
          <w:rFonts w:hint="eastAsia" w:ascii="Times New Roman" w:hAnsi="Times New Roman" w:eastAsia="宋体" w:cs="宋体"/>
          <w:color w:val="auto"/>
          <w:spacing w:val="-3"/>
        </w:rPr>
        <w:t>（</w:t>
      </w:r>
      <w:r>
        <w:rPr>
          <w:rFonts w:hint="eastAsia" w:ascii="Times New Roman" w:hAnsi="Times New Roman" w:eastAsia="宋体" w:cs="宋体"/>
          <w:color w:val="auto"/>
          <w:spacing w:val="-8"/>
        </w:rPr>
        <w:t>含初试、复试成绩</w:t>
      </w:r>
      <w:r>
        <w:rPr>
          <w:rFonts w:hint="eastAsia" w:ascii="Times New Roman" w:hAnsi="Times New Roman" w:eastAsia="宋体" w:cs="宋体"/>
          <w:color w:val="auto"/>
          <w:spacing w:val="-32"/>
        </w:rPr>
        <w:t>）</w:t>
      </w:r>
      <w:r>
        <w:rPr>
          <w:rFonts w:hint="eastAsia" w:ascii="Times New Roman" w:hAnsi="Times New Roman" w:eastAsia="宋体" w:cs="宋体"/>
          <w:color w:val="auto"/>
          <w:spacing w:val="-4"/>
        </w:rPr>
        <w:t>和入学</w:t>
      </w:r>
      <w:r>
        <w:rPr>
          <w:rFonts w:hint="eastAsia" w:ascii="Times New Roman" w:hAnsi="Times New Roman" w:eastAsia="宋体" w:cs="宋体"/>
          <w:color w:val="auto"/>
          <w:spacing w:val="-12"/>
        </w:rPr>
        <w:t>前科研成果进行综合评定。当年度入学的推荐免试研究生保证获得二等及以上硕士研究生学</w:t>
      </w:r>
      <w:r>
        <w:rPr>
          <w:rFonts w:hint="eastAsia" w:ascii="Times New Roman" w:hAnsi="Times New Roman" w:eastAsia="宋体" w:cs="宋体"/>
          <w:color w:val="auto"/>
          <w:spacing w:val="-3"/>
        </w:rPr>
        <w:t>业奖学金。</w:t>
      </w:r>
      <w:r>
        <w:rPr>
          <w:rFonts w:hint="eastAsia" w:ascii="Times New Roman" w:hAnsi="Times New Roman" w:eastAsia="宋体" w:cs="宋体"/>
          <w:color w:val="auto"/>
        </w:rPr>
        <w:t xml:space="preserve"> </w:t>
      </w:r>
    </w:p>
    <w:p w14:paraId="67255CE4">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2" w:firstLineChars="200"/>
        <w:jc w:val="both"/>
        <w:textAlignment w:val="auto"/>
        <w:rPr>
          <w:rFonts w:hint="eastAsia" w:ascii="Times New Roman" w:hAnsi="Times New Roman" w:eastAsia="宋体" w:cs="宋体"/>
          <w:color w:val="auto"/>
          <w:spacing w:val="-3"/>
        </w:rPr>
      </w:pPr>
      <w:r>
        <w:rPr>
          <w:rFonts w:hint="eastAsia" w:ascii="Times New Roman" w:hAnsi="Times New Roman" w:eastAsia="宋体" w:cs="宋体"/>
          <w:color w:val="auto"/>
          <w:spacing w:val="-7"/>
        </w:rPr>
        <w:t>第二学年硕士研究生学业奖学金根据研究生学业成绩、科研成果、社会服务等因素，确</w:t>
      </w:r>
      <w:r>
        <w:rPr>
          <w:rFonts w:hint="eastAsia" w:ascii="Times New Roman" w:hAnsi="Times New Roman" w:eastAsia="宋体" w:cs="宋体"/>
          <w:color w:val="auto"/>
          <w:spacing w:val="-5"/>
        </w:rPr>
        <w:t>定研究生学业奖学金的获奖等级</w:t>
      </w:r>
      <w:r>
        <w:rPr>
          <w:rFonts w:hint="eastAsia" w:ascii="Times New Roman" w:hAnsi="Times New Roman" w:cs="宋体"/>
          <w:color w:val="auto"/>
          <w:spacing w:val="-5"/>
          <w:lang w:eastAsia="zh-CN"/>
        </w:rPr>
        <w:t>（</w:t>
      </w:r>
      <w:r>
        <w:rPr>
          <w:rFonts w:hint="eastAsia" w:ascii="Times New Roman" w:hAnsi="Times New Roman" w:eastAsia="宋体" w:cs="宋体"/>
          <w:color w:val="auto"/>
          <w:spacing w:val="-5"/>
        </w:rPr>
        <w:t>具体评分细则见附件一</w:t>
      </w:r>
      <w:r>
        <w:rPr>
          <w:rFonts w:hint="eastAsia" w:ascii="Times New Roman" w:hAnsi="Times New Roman" w:cs="宋体"/>
          <w:color w:val="auto"/>
          <w:spacing w:val="-5"/>
          <w:lang w:eastAsia="zh-CN"/>
        </w:rPr>
        <w:t>）</w:t>
      </w:r>
      <w:r>
        <w:rPr>
          <w:rFonts w:hint="eastAsia" w:ascii="Times New Roman" w:hAnsi="Times New Roman" w:eastAsia="宋体" w:cs="宋体"/>
          <w:color w:val="auto"/>
          <w:spacing w:val="-3"/>
        </w:rPr>
        <w:t>。</w:t>
      </w:r>
    </w:p>
    <w:p w14:paraId="66F61447">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第三学年硕士研究生学业奖学金不分等级。</w:t>
      </w:r>
    </w:p>
    <w:p w14:paraId="071A094C">
      <w:pPr>
        <w:pStyle w:val="7"/>
        <w:keepNext w:val="0"/>
        <w:keepLines w:val="0"/>
        <w:pageBreakBefore w:val="0"/>
        <w:widowControl w:val="0"/>
        <w:numPr>
          <w:ilvl w:val="0"/>
          <w:numId w:val="4"/>
        </w:numPr>
        <w:tabs>
          <w:tab w:val="left" w:pos="479"/>
        </w:tabs>
        <w:kinsoku/>
        <w:wordWrap/>
        <w:overflowPunct/>
        <w:topLinePunct w:val="0"/>
        <w:autoSpaceDE w:val="0"/>
        <w:autoSpaceDN w:val="0"/>
        <w:bidi w:val="0"/>
        <w:adjustRightInd/>
        <w:snapToGrid/>
        <w:spacing w:before="0" w:after="0" w:line="360" w:lineRule="exact"/>
        <w:ind w:left="-420" w:leftChars="0" w:right="0" w:rightChars="0" w:firstLine="392" w:firstLineChars="0"/>
        <w:jc w:val="both"/>
        <w:textAlignment w:val="auto"/>
        <w:rPr>
          <w:rFonts w:hint="eastAsia" w:ascii="Times New Roman" w:hAnsi="Times New Roman" w:eastAsia="宋体" w:cs="宋体"/>
          <w:color w:val="auto"/>
          <w:spacing w:val="-4"/>
          <w:sz w:val="21"/>
        </w:rPr>
      </w:pPr>
      <w:r>
        <w:rPr>
          <w:rFonts w:hint="eastAsia" w:ascii="Times New Roman" w:hAnsi="Times New Roman" w:eastAsia="宋体" w:cs="宋体"/>
          <w:color w:val="auto"/>
          <w:spacing w:val="-4"/>
          <w:sz w:val="21"/>
        </w:rPr>
        <w:t>博士研究生</w:t>
      </w:r>
    </w:p>
    <w:p w14:paraId="74C10534">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博士研究生第一年入学享受的新生奖学金与学费等额。</w:t>
      </w:r>
    </w:p>
    <w:p w14:paraId="5F777FD8">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56"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16"/>
        </w:rPr>
        <w:t>第二、三学年博士研究生学业奖学金根据研究生学业成绩、科研成果、社会服务等因素，</w:t>
      </w:r>
      <w:r>
        <w:rPr>
          <w:rFonts w:hint="eastAsia" w:ascii="Times New Roman" w:hAnsi="Times New Roman" w:eastAsia="宋体" w:cs="宋体"/>
          <w:color w:val="auto"/>
          <w:spacing w:val="-7"/>
        </w:rPr>
        <w:t>确定研究生学业奖学金的获奖等级</w:t>
      </w:r>
      <w:r>
        <w:rPr>
          <w:rFonts w:hint="eastAsia" w:ascii="Times New Roman" w:hAnsi="Times New Roman" w:cs="宋体"/>
          <w:color w:val="auto"/>
          <w:spacing w:val="-4"/>
          <w:lang w:eastAsia="zh-CN"/>
        </w:rPr>
        <w:t>（</w:t>
      </w:r>
      <w:r>
        <w:rPr>
          <w:rFonts w:hint="eastAsia" w:ascii="Times New Roman" w:hAnsi="Times New Roman" w:eastAsia="宋体" w:cs="宋体"/>
          <w:color w:val="auto"/>
          <w:spacing w:val="-4"/>
        </w:rPr>
        <w:t>具体评分细则见附件二</w:t>
      </w:r>
      <w:r>
        <w:rPr>
          <w:rFonts w:hint="eastAsia" w:ascii="Times New Roman" w:hAnsi="Times New Roman" w:cs="宋体"/>
          <w:color w:val="auto"/>
          <w:spacing w:val="-4"/>
          <w:lang w:eastAsia="zh-CN"/>
        </w:rPr>
        <w:t>）</w:t>
      </w:r>
      <w:r>
        <w:rPr>
          <w:rFonts w:hint="eastAsia" w:ascii="Times New Roman" w:hAnsi="Times New Roman" w:eastAsia="宋体" w:cs="宋体"/>
          <w:color w:val="auto"/>
          <w:spacing w:val="-3"/>
        </w:rPr>
        <w:t>。</w:t>
      </w:r>
      <w:r>
        <w:rPr>
          <w:rFonts w:hint="eastAsia" w:ascii="Times New Roman" w:hAnsi="Times New Roman" w:eastAsia="宋体" w:cs="宋体"/>
          <w:color w:val="auto"/>
        </w:rPr>
        <w:t xml:space="preserve"> </w:t>
      </w:r>
    </w:p>
    <w:p w14:paraId="07509D21">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四、评审程序 </w:t>
      </w:r>
    </w:p>
    <w:p w14:paraId="2B4560D3">
      <w:pPr>
        <w:pStyle w:val="7"/>
        <w:keepNext w:val="0"/>
        <w:keepLines w:val="0"/>
        <w:pageBreakBefore w:val="0"/>
        <w:widowControl w:val="0"/>
        <w:numPr>
          <w:ilvl w:val="0"/>
          <w:numId w:val="5"/>
        </w:numPr>
        <w:tabs>
          <w:tab w:val="left" w:pos="638"/>
        </w:tabs>
        <w:kinsoku/>
        <w:wordWrap/>
        <w:overflowPunct/>
        <w:topLinePunct w:val="0"/>
        <w:autoSpaceDE w:val="0"/>
        <w:autoSpaceDN w:val="0"/>
        <w:bidi w:val="0"/>
        <w:adjustRightInd/>
        <w:snapToGrid/>
        <w:spacing w:before="0" w:after="0" w:line="360" w:lineRule="exact"/>
        <w:ind w:left="0" w:leftChars="0" w:right="0" w:rightChars="0" w:firstLine="42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3"/>
          <w:sz w:val="21"/>
        </w:rPr>
        <w:t>符合评定资格的研究生按照评审要求填写《研究生学业奖学金申请审批表》</w:t>
      </w:r>
      <w:r>
        <w:rPr>
          <w:rFonts w:hint="eastAsia" w:ascii="Times New Roman" w:hAnsi="Times New Roman" w:eastAsia="宋体" w:cs="宋体"/>
          <w:color w:val="auto"/>
          <w:sz w:val="21"/>
        </w:rPr>
        <w:t>（</w:t>
      </w:r>
      <w:r>
        <w:rPr>
          <w:rFonts w:hint="eastAsia" w:ascii="Times New Roman" w:hAnsi="Times New Roman" w:eastAsia="宋体" w:cs="宋体"/>
          <w:color w:val="auto"/>
          <w:spacing w:val="-2"/>
          <w:sz w:val="21"/>
        </w:rPr>
        <w:t>见附件一</w:t>
      </w:r>
      <w:r>
        <w:rPr>
          <w:rFonts w:hint="eastAsia" w:ascii="Times New Roman" w:hAnsi="Times New Roman" w:eastAsia="宋体" w:cs="宋体"/>
          <w:color w:val="auto"/>
          <w:spacing w:val="-26"/>
          <w:sz w:val="21"/>
        </w:rPr>
        <w:t>）</w:t>
      </w:r>
      <w:r>
        <w:rPr>
          <w:rFonts w:hint="eastAsia" w:ascii="Times New Roman" w:hAnsi="Times New Roman" w:eastAsia="宋体" w:cs="宋体"/>
          <w:color w:val="auto"/>
          <w:spacing w:val="-9"/>
          <w:sz w:val="21"/>
        </w:rPr>
        <w:t>，并提交科研成果、获奖证书等相关证明材料的原件及复印件，原件由评审委员会负责</w:t>
      </w:r>
      <w:r>
        <w:rPr>
          <w:rFonts w:hint="eastAsia" w:ascii="Times New Roman" w:hAnsi="Times New Roman" w:eastAsia="宋体" w:cs="宋体"/>
          <w:color w:val="auto"/>
          <w:spacing w:val="-12"/>
          <w:sz w:val="21"/>
        </w:rPr>
        <w:t>核实。《研究生学业奖学金申请审批表》中各栏目按照要求填写，其中审核与推荐意见由研</w:t>
      </w:r>
      <w:r>
        <w:rPr>
          <w:rFonts w:hint="eastAsia" w:ascii="Times New Roman" w:hAnsi="Times New Roman" w:eastAsia="宋体" w:cs="宋体"/>
          <w:color w:val="auto"/>
          <w:spacing w:val="-16"/>
          <w:sz w:val="21"/>
        </w:rPr>
        <w:t>究生本人的指导教师负责填写。于指定截止日期前由班级统一上交评审委员会秘书彭老师</w:t>
      </w:r>
      <w:r>
        <w:rPr>
          <w:rFonts w:hint="eastAsia" w:ascii="Times New Roman" w:hAnsi="Times New Roman" w:eastAsia="宋体" w:cs="宋体"/>
          <w:color w:val="auto"/>
          <w:spacing w:val="-10"/>
          <w:sz w:val="21"/>
        </w:rPr>
        <w:t>处</w:t>
      </w:r>
      <w:r>
        <w:rPr>
          <w:rFonts w:hint="eastAsia" w:ascii="Times New Roman" w:hAnsi="Times New Roman" w:eastAsia="宋体" w:cs="宋体"/>
          <w:color w:val="auto"/>
          <w:sz w:val="21"/>
        </w:rPr>
        <w:t>（</w:t>
      </w:r>
      <w:r>
        <w:rPr>
          <w:rFonts w:hint="eastAsia" w:ascii="Times New Roman" w:hAnsi="Times New Roman" w:cs="宋体"/>
          <w:color w:val="auto"/>
          <w:sz w:val="21"/>
          <w:lang w:val="en-US" w:eastAsia="zh-CN"/>
        </w:rPr>
        <w:t>新</w:t>
      </w:r>
      <w:r>
        <w:rPr>
          <w:rFonts w:hint="eastAsia" w:ascii="Times New Roman" w:hAnsi="Times New Roman" w:eastAsia="宋体" w:cs="宋体"/>
          <w:color w:val="auto"/>
          <w:spacing w:val="-14"/>
          <w:sz w:val="21"/>
        </w:rPr>
        <w:t>文科</w:t>
      </w:r>
      <w:r>
        <w:rPr>
          <w:rFonts w:hint="eastAsia" w:ascii="Times New Roman" w:hAnsi="Times New Roman" w:cs="宋体"/>
          <w:color w:val="auto"/>
          <w:spacing w:val="-14"/>
          <w:sz w:val="21"/>
          <w:lang w:val="en-US" w:eastAsia="zh-CN"/>
        </w:rPr>
        <w:t>大楼1312-1</w:t>
      </w:r>
      <w:r>
        <w:rPr>
          <w:rFonts w:hint="eastAsia" w:ascii="Times New Roman" w:hAnsi="Times New Roman" w:eastAsia="宋体" w:cs="宋体"/>
          <w:color w:val="auto"/>
          <w:sz w:val="21"/>
        </w:rPr>
        <w:t xml:space="preserve">）。 </w:t>
      </w:r>
    </w:p>
    <w:p w14:paraId="7B235F95">
      <w:pPr>
        <w:pStyle w:val="7"/>
        <w:keepNext w:val="0"/>
        <w:keepLines w:val="0"/>
        <w:pageBreakBefore w:val="0"/>
        <w:widowControl w:val="0"/>
        <w:numPr>
          <w:ilvl w:val="0"/>
          <w:numId w:val="5"/>
        </w:numPr>
        <w:tabs>
          <w:tab w:val="left" w:pos="638"/>
        </w:tabs>
        <w:kinsoku/>
        <w:wordWrap/>
        <w:overflowPunct/>
        <w:topLinePunct w:val="0"/>
        <w:autoSpaceDE w:val="0"/>
        <w:autoSpaceDN w:val="0"/>
        <w:bidi w:val="0"/>
        <w:adjustRightInd/>
        <w:snapToGrid/>
        <w:spacing w:before="0" w:after="0" w:line="360" w:lineRule="exact"/>
        <w:ind w:left="0" w:leftChars="0" w:right="0" w:rightChars="0" w:firstLine="42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5"/>
          <w:sz w:val="21"/>
        </w:rPr>
        <w:t>经人文学院学业奖学金评审委员会评审，确定初评获奖名单，将通过人文学院网</w:t>
      </w:r>
      <w:r>
        <w:rPr>
          <w:rFonts w:hint="eastAsia" w:ascii="Times New Roman" w:hAnsi="Times New Roman" w:cs="宋体"/>
          <w:color w:val="auto"/>
          <w:spacing w:val="-5"/>
          <w:sz w:val="21"/>
          <w:lang w:val="en-US" w:eastAsia="zh-CN"/>
        </w:rPr>
        <w:t>站—</w:t>
      </w:r>
      <w:r>
        <w:rPr>
          <w:rFonts w:hint="eastAsia" w:ascii="Times New Roman" w:hAnsi="Times New Roman" w:eastAsia="宋体" w:cs="宋体"/>
          <w:color w:val="auto"/>
          <w:spacing w:val="-5"/>
          <w:sz w:val="21"/>
        </w:rPr>
        <w:t xml:space="preserve">研究生专区进行公示。公示期内有异议者，由评审委员会及时研究并予以答复。 </w:t>
      </w:r>
    </w:p>
    <w:p w14:paraId="411F6CF2">
      <w:pPr>
        <w:pStyle w:val="7"/>
        <w:keepNext w:val="0"/>
        <w:keepLines w:val="0"/>
        <w:pageBreakBefore w:val="0"/>
        <w:widowControl w:val="0"/>
        <w:numPr>
          <w:ilvl w:val="0"/>
          <w:numId w:val="5"/>
        </w:numPr>
        <w:tabs>
          <w:tab w:val="left" w:pos="638"/>
        </w:tabs>
        <w:kinsoku/>
        <w:wordWrap/>
        <w:overflowPunct/>
        <w:topLinePunct w:val="0"/>
        <w:autoSpaceDE w:val="0"/>
        <w:autoSpaceDN w:val="0"/>
        <w:bidi w:val="0"/>
        <w:adjustRightInd/>
        <w:snapToGrid/>
        <w:spacing w:before="0" w:after="0" w:line="360" w:lineRule="exact"/>
        <w:ind w:left="0" w:leftChars="0" w:right="0" w:rightChars="0" w:firstLine="42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3"/>
          <w:sz w:val="21"/>
        </w:rPr>
        <w:t>公示期满后，评审委员会登录研究生培养信息系统提交评审结果，下载并打印《硕士</w:t>
      </w:r>
      <w:r>
        <w:rPr>
          <w:rFonts w:hint="eastAsia" w:ascii="Times New Roman" w:hAnsi="Times New Roman" w:eastAsia="宋体" w:cs="宋体"/>
          <w:color w:val="auto"/>
          <w:spacing w:val="-8"/>
          <w:sz w:val="21"/>
        </w:rPr>
        <w:t>研究生学业奖学金推荐名单汇总表》、《博士研究生国家奖学金推荐名单汇总表》</w:t>
      </w:r>
      <w:r>
        <w:rPr>
          <w:rFonts w:hint="eastAsia" w:ascii="Times New Roman" w:hAnsi="Times New Roman" w:eastAsia="宋体" w:cs="宋体"/>
          <w:color w:val="auto"/>
          <w:sz w:val="21"/>
        </w:rPr>
        <w:t>（</w:t>
      </w:r>
      <w:r>
        <w:rPr>
          <w:rFonts w:hint="eastAsia" w:ascii="Times New Roman" w:hAnsi="Times New Roman" w:eastAsia="宋体" w:cs="宋体"/>
          <w:color w:val="auto"/>
          <w:spacing w:val="-3"/>
          <w:sz w:val="21"/>
        </w:rPr>
        <w:t>纸质材</w:t>
      </w:r>
      <w:r>
        <w:rPr>
          <w:rFonts w:hint="eastAsia" w:ascii="Times New Roman" w:hAnsi="Times New Roman" w:eastAsia="宋体" w:cs="宋体"/>
          <w:color w:val="auto"/>
          <w:spacing w:val="-5"/>
          <w:sz w:val="21"/>
        </w:rPr>
        <w:t>料各一份，需加盖公章）</w:t>
      </w:r>
      <w:r>
        <w:rPr>
          <w:rFonts w:hint="eastAsia" w:ascii="Times New Roman" w:hAnsi="Times New Roman" w:eastAsia="宋体" w:cs="宋体"/>
          <w:color w:val="auto"/>
          <w:spacing w:val="-4"/>
          <w:sz w:val="21"/>
        </w:rPr>
        <w:t xml:space="preserve">上报研究生院审定。 </w:t>
      </w:r>
    </w:p>
    <w:p w14:paraId="37E150FB">
      <w:pPr>
        <w:pStyle w:val="7"/>
        <w:keepNext w:val="0"/>
        <w:keepLines w:val="0"/>
        <w:pageBreakBefore w:val="0"/>
        <w:widowControl w:val="0"/>
        <w:numPr>
          <w:ilvl w:val="0"/>
          <w:numId w:val="5"/>
        </w:numPr>
        <w:tabs>
          <w:tab w:val="left" w:pos="638"/>
        </w:tabs>
        <w:kinsoku/>
        <w:wordWrap/>
        <w:overflowPunct/>
        <w:topLinePunct w:val="0"/>
        <w:autoSpaceDE w:val="0"/>
        <w:autoSpaceDN w:val="0"/>
        <w:bidi w:val="0"/>
        <w:adjustRightInd/>
        <w:snapToGrid/>
        <w:spacing w:before="0" w:after="0" w:line="360" w:lineRule="exact"/>
        <w:ind w:left="0" w:leftChars="0" w:right="0" w:rightChars="0" w:firstLine="420" w:firstLineChars="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8"/>
          <w:sz w:val="21"/>
        </w:rPr>
        <w:t xml:space="preserve">审定结果在全校范围内公示，公示时间不少于 </w:t>
      </w:r>
      <w:r>
        <w:rPr>
          <w:rFonts w:hint="eastAsia" w:ascii="Times New Roman" w:hAnsi="Times New Roman" w:eastAsia="宋体" w:cs="宋体"/>
          <w:color w:val="auto"/>
          <w:sz w:val="21"/>
        </w:rPr>
        <w:t>2</w:t>
      </w:r>
      <w:r>
        <w:rPr>
          <w:rFonts w:hint="eastAsia" w:ascii="Times New Roman" w:hAnsi="Times New Roman" w:eastAsia="宋体" w:cs="宋体"/>
          <w:color w:val="auto"/>
          <w:spacing w:val="-5"/>
          <w:sz w:val="21"/>
        </w:rPr>
        <w:t xml:space="preserve"> </w:t>
      </w:r>
      <w:r>
        <w:rPr>
          <w:rFonts w:hint="eastAsia" w:ascii="Times New Roman" w:hAnsi="Times New Roman" w:eastAsia="宋体" w:cs="宋体"/>
          <w:color w:val="auto"/>
          <w:spacing w:val="-3"/>
          <w:sz w:val="21"/>
        </w:rPr>
        <w:t>个工作日。</w:t>
      </w:r>
      <w:r>
        <w:rPr>
          <w:rFonts w:hint="eastAsia" w:ascii="Times New Roman" w:hAnsi="Times New Roman" w:eastAsia="宋体" w:cs="宋体"/>
          <w:color w:val="auto"/>
          <w:sz w:val="21"/>
        </w:rPr>
        <w:t xml:space="preserve"> </w:t>
      </w:r>
    </w:p>
    <w:p w14:paraId="38B66C19">
      <w:pPr>
        <w:pStyle w:val="3"/>
        <w:keepNext w:val="0"/>
        <w:keepLines w:val="0"/>
        <w:pageBreakBefore w:val="0"/>
        <w:kinsoku/>
        <w:wordWrap/>
        <w:overflowPunct/>
        <w:topLinePunct w:val="0"/>
        <w:autoSpaceDE w:val="0"/>
        <w:autoSpaceDN w:val="0"/>
        <w:bidi w:val="0"/>
        <w:adjustRightInd/>
        <w:snapToGrid/>
        <w:spacing w:line="360" w:lineRule="exact"/>
        <w:ind w:left="0"/>
        <w:jc w:val="both"/>
        <w:textAlignment w:val="auto"/>
        <w:rPr>
          <w:rFonts w:hint="eastAsia" w:ascii="Times New Roman" w:hAnsi="Times New Roman" w:eastAsia="宋体" w:cs="宋体"/>
          <w:color w:val="auto"/>
          <w:sz w:val="22"/>
        </w:rPr>
      </w:pPr>
    </w:p>
    <w:p w14:paraId="3D7B4282">
      <w:pPr>
        <w:pStyle w:val="3"/>
        <w:keepNext w:val="0"/>
        <w:keepLines w:val="0"/>
        <w:pageBreakBefore w:val="0"/>
        <w:widowControl w:val="0"/>
        <w:kinsoku/>
        <w:wordWrap/>
        <w:overflowPunct/>
        <w:topLinePunct w:val="0"/>
        <w:autoSpaceDE w:val="0"/>
        <w:autoSpaceDN w:val="0"/>
        <w:bidi w:val="0"/>
        <w:adjustRightInd/>
        <w:snapToGrid/>
        <w:spacing w:line="360" w:lineRule="exact"/>
        <w:ind w:left="0" w:right="0"/>
        <w:jc w:val="right"/>
        <w:textAlignment w:val="auto"/>
        <w:rPr>
          <w:rFonts w:hint="eastAsia" w:ascii="Times New Roman" w:hAnsi="Times New Roman" w:eastAsia="宋体" w:cs="宋体"/>
          <w:color w:val="auto"/>
        </w:rPr>
      </w:pPr>
    </w:p>
    <w:p w14:paraId="3531C240">
      <w:pPr>
        <w:pStyle w:val="3"/>
        <w:keepNext w:val="0"/>
        <w:keepLines w:val="0"/>
        <w:pageBreakBefore w:val="0"/>
        <w:widowControl w:val="0"/>
        <w:kinsoku/>
        <w:wordWrap/>
        <w:overflowPunct/>
        <w:topLinePunct w:val="0"/>
        <w:autoSpaceDE w:val="0"/>
        <w:autoSpaceDN w:val="0"/>
        <w:bidi w:val="0"/>
        <w:adjustRightInd/>
        <w:snapToGrid/>
        <w:spacing w:line="360" w:lineRule="exact"/>
        <w:ind w:left="0" w:right="0"/>
        <w:jc w:val="right"/>
        <w:textAlignment w:val="auto"/>
        <w:rPr>
          <w:rFonts w:hint="eastAsia" w:ascii="Times New Roman" w:hAnsi="Times New Roman" w:eastAsia="宋体" w:cs="宋体"/>
          <w:color w:val="auto"/>
        </w:rPr>
      </w:pPr>
      <w:r>
        <w:rPr>
          <w:rFonts w:hint="eastAsia" w:ascii="Times New Roman" w:hAnsi="Times New Roman" w:eastAsia="宋体" w:cs="宋体"/>
          <w:color w:val="auto"/>
        </w:rPr>
        <w:t>东南大学人文学院</w:t>
      </w:r>
      <w:r>
        <w:rPr>
          <w:rFonts w:hint="eastAsia" w:ascii="Times New Roman" w:hAnsi="Times New Roman" w:eastAsia="宋体" w:cs="宋体"/>
          <w:color w:val="auto"/>
        </w:rPr>
        <w:br w:type="page"/>
      </w:r>
    </w:p>
    <w:p w14:paraId="17D483B3">
      <w:pPr>
        <w:keepNext w:val="0"/>
        <w:keepLines w:val="0"/>
        <w:pageBreakBefore w:val="0"/>
        <w:kinsoku/>
        <w:wordWrap/>
        <w:overflowPunct/>
        <w:topLinePunct w:val="0"/>
        <w:autoSpaceDE w:val="0"/>
        <w:autoSpaceDN w:val="0"/>
        <w:bidi w:val="0"/>
        <w:adjustRightInd/>
        <w:snapToGrid/>
        <w:spacing w:after="0" w:line="360" w:lineRule="exact"/>
        <w:jc w:val="both"/>
        <w:textAlignment w:val="auto"/>
        <w:rPr>
          <w:rFonts w:hint="eastAsia" w:ascii="Times New Roman" w:hAnsi="Times New Roman" w:eastAsia="宋体" w:cs="宋体"/>
          <w:color w:val="auto"/>
        </w:rPr>
        <w:sectPr>
          <w:pgSz w:w="11910" w:h="16850"/>
          <w:pgMar w:top="1440" w:right="1800" w:bottom="1440" w:left="1800" w:header="720" w:footer="720" w:gutter="0"/>
          <w:cols w:space="720" w:num="1"/>
        </w:sectPr>
      </w:pPr>
    </w:p>
    <w:p w14:paraId="35D56A9E">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left"/>
        <w:textAlignment w:val="auto"/>
        <w:rPr>
          <w:rFonts w:hint="eastAsia" w:ascii="Times New Roman" w:hAnsi="Times New Roman" w:eastAsia="仿宋" w:cs="仿宋"/>
          <w:color w:val="auto"/>
          <w:sz w:val="21"/>
          <w:szCs w:val="21"/>
          <w:lang w:val="zh-CN" w:eastAsia="zh-CN" w:bidi="zh-CN"/>
        </w:rPr>
      </w:pPr>
      <w:r>
        <w:rPr>
          <w:rFonts w:hint="eastAsia" w:ascii="Times New Roman" w:hAnsi="Times New Roman" w:eastAsia="仿宋" w:cs="仿宋"/>
          <w:color w:val="auto"/>
          <w:sz w:val="21"/>
          <w:szCs w:val="21"/>
          <w:lang w:val="zh-CN" w:eastAsia="zh-CN" w:bidi="zh-CN"/>
        </w:rPr>
        <w:t>附件一：</w:t>
      </w:r>
    </w:p>
    <w:p w14:paraId="48FA80A0">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center"/>
        <w:textAlignment w:val="auto"/>
        <w:rPr>
          <w:rFonts w:hint="eastAsia" w:ascii="Times New Roman" w:hAnsi="Times New Roman" w:eastAsia="宋体" w:cs="宋体"/>
          <w:color w:val="auto"/>
          <w:spacing w:val="-10"/>
        </w:rPr>
      </w:pPr>
      <w:r>
        <w:rPr>
          <w:rFonts w:hint="eastAsia" w:ascii="Times New Roman" w:hAnsi="Times New Roman" w:eastAsia="黑体" w:cs="黑体"/>
          <w:b/>
          <w:bCs/>
          <w:color w:val="auto"/>
          <w:sz w:val="28"/>
          <w:szCs w:val="28"/>
        </w:rPr>
        <w:t>人文学院硕士研究生学业奖学金成绩评定细则</w:t>
      </w:r>
    </w:p>
    <w:p w14:paraId="6B04755B">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10"/>
        </w:rPr>
        <w:t>硕士研究生奖学金按学习成绩、科研情况、综合表现进行评定。以最终加权成绩确定评</w:t>
      </w:r>
      <w:r>
        <w:rPr>
          <w:rFonts w:hint="eastAsia" w:ascii="Times New Roman" w:hAnsi="Times New Roman" w:eastAsia="宋体" w:cs="宋体"/>
          <w:color w:val="auto"/>
          <w:spacing w:val="-3"/>
        </w:rPr>
        <w:t>定名次。</w:t>
      </w:r>
      <w:r>
        <w:rPr>
          <w:rFonts w:hint="eastAsia" w:ascii="Times New Roman" w:hAnsi="Times New Roman" w:eastAsia="宋体" w:cs="宋体"/>
          <w:color w:val="auto"/>
        </w:rPr>
        <w:t xml:space="preserve"> </w:t>
      </w:r>
    </w:p>
    <w:p w14:paraId="4C6A31D1">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一、学习成绩  </w:t>
      </w:r>
    </w:p>
    <w:p w14:paraId="6D653F8D">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388" w:firstLineChars="200"/>
        <w:jc w:val="both"/>
        <w:textAlignment w:val="auto"/>
        <w:rPr>
          <w:rFonts w:hint="eastAsia" w:ascii="Times New Roman" w:hAnsi="Times New Roman" w:eastAsia="宋体" w:cs="宋体"/>
          <w:color w:val="auto"/>
          <w:spacing w:val="-4"/>
          <w:lang w:eastAsia="zh-CN"/>
        </w:rPr>
      </w:pPr>
      <w:r>
        <w:rPr>
          <w:rFonts w:hint="eastAsia" w:ascii="Times New Roman" w:hAnsi="Times New Roman" w:eastAsia="宋体" w:cs="宋体"/>
          <w:color w:val="auto"/>
          <w:spacing w:val="-8"/>
        </w:rPr>
        <w:t>学习成绩以已入库学位课硕士生的学位课平均规格化成绩为评判依据。硕士研究生奖学金评定时学位课平均规格化成绩以</w:t>
      </w:r>
      <w:r>
        <w:rPr>
          <w:rFonts w:hint="eastAsia" w:ascii="Times New Roman" w:hAnsi="Times New Roman" w:cs="宋体"/>
          <w:b/>
          <w:bCs/>
          <w:color w:val="auto"/>
          <w:spacing w:val="-8"/>
          <w:lang w:val="en-US" w:eastAsia="zh-CN"/>
        </w:rPr>
        <w:t xml:space="preserve"> </w:t>
      </w:r>
      <w:r>
        <w:rPr>
          <w:rFonts w:hint="eastAsia" w:ascii="Times New Roman" w:hAnsi="Times New Roman" w:eastAsia="宋体" w:cs="宋体"/>
          <w:b/>
          <w:bCs/>
          <w:color w:val="auto"/>
          <w:spacing w:val="-4"/>
        </w:rPr>
        <w:t>60%</w:t>
      </w:r>
      <w:r>
        <w:rPr>
          <w:rFonts w:hint="eastAsia" w:ascii="Times New Roman" w:hAnsi="Times New Roman" w:cs="宋体"/>
          <w:b/>
          <w:bCs/>
          <w:color w:val="auto"/>
          <w:spacing w:val="-4"/>
          <w:lang w:val="en-US" w:eastAsia="zh-CN"/>
        </w:rPr>
        <w:t xml:space="preserve"> </w:t>
      </w:r>
      <w:r>
        <w:rPr>
          <w:rFonts w:hint="eastAsia" w:ascii="Times New Roman" w:hAnsi="Times New Roman" w:eastAsia="宋体" w:cs="宋体"/>
          <w:color w:val="auto"/>
          <w:spacing w:val="-4"/>
        </w:rPr>
        <w:t xml:space="preserve">计入最终成绩。 </w:t>
      </w:r>
    </w:p>
    <w:p w14:paraId="15F3463C">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lang w:val="en-US" w:eastAsia="zh-CN"/>
        </w:rPr>
        <w:t>二、</w:t>
      </w:r>
      <w:r>
        <w:rPr>
          <w:rFonts w:hint="eastAsia" w:ascii="Times New Roman" w:hAnsi="Times New Roman" w:eastAsia="宋体" w:cs="宋体"/>
          <w:b/>
          <w:bCs/>
          <w:color w:val="auto"/>
        </w:rPr>
        <w:t>科研成绩</w:t>
      </w:r>
    </w:p>
    <w:p w14:paraId="2D269B57">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论文发表情况：</w:t>
      </w:r>
    </w:p>
    <w:p w14:paraId="7FF0096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在《中国社会科学》上发表一篇文章加 40 分。</w:t>
      </w:r>
    </w:p>
    <w:p w14:paraId="7BC2860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在一级学科最高刊物上发表一篇文章加 20 分。</w:t>
      </w:r>
    </w:p>
    <w:p w14:paraId="1EC7EB9A">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SSCI（二区及以上）/A&amp;HCL 期刊上发表一篇文章加 10</w:t>
      </w:r>
      <w:r>
        <w:rPr>
          <w:rFonts w:hint="eastAsia" w:ascii="Times New Roman" w:hAnsi="Times New Roman" w:cs="宋体"/>
          <w:color w:val="auto"/>
          <w:lang w:val="en-US" w:eastAsia="zh-CN"/>
        </w:rPr>
        <w:t>-</w:t>
      </w:r>
      <w:r>
        <w:rPr>
          <w:rFonts w:hint="eastAsia" w:ascii="Times New Roman" w:hAnsi="Times New Roman" w:eastAsia="宋体" w:cs="宋体"/>
          <w:color w:val="auto"/>
        </w:rPr>
        <w:t>20 分</w:t>
      </w:r>
      <w:r>
        <w:rPr>
          <w:rFonts w:hint="eastAsia" w:ascii="Times New Roman" w:hAnsi="Times New Roman" w:cs="宋体"/>
          <w:color w:val="auto"/>
          <w:lang w:eastAsia="zh-CN"/>
        </w:rPr>
        <w:t>（</w:t>
      </w:r>
      <w:r>
        <w:rPr>
          <w:rFonts w:hint="eastAsia" w:ascii="Times New Roman" w:hAnsi="Times New Roman" w:cs="宋体"/>
          <w:color w:val="auto"/>
          <w:lang w:val="en-US" w:eastAsia="zh-CN"/>
        </w:rPr>
        <w:t>具体分值由评审委员会根据文章质量界定）</w:t>
      </w:r>
    </w:p>
    <w:p w14:paraId="02FF65E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SCIE等效于</w:t>
      </w:r>
      <w:r>
        <w:rPr>
          <w:rFonts w:hint="eastAsia" w:ascii="Times New Roman" w:hAnsi="Times New Roman" w:cs="宋体"/>
          <w:color w:val="auto"/>
          <w:lang w:val="en-US" w:eastAsia="zh-CN"/>
        </w:rPr>
        <w:t>C</w:t>
      </w:r>
      <w:r>
        <w:rPr>
          <w:rFonts w:hint="eastAsia" w:ascii="Times New Roman" w:hAnsi="Times New Roman" w:eastAsia="宋体" w:cs="宋体"/>
          <w:color w:val="auto"/>
        </w:rPr>
        <w:t>刊，加6分；</w:t>
      </w:r>
    </w:p>
    <w:p w14:paraId="50F0292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18"/>
        </w:rPr>
        <w:t xml:space="preserve">其他 </w:t>
      </w:r>
      <w:r>
        <w:rPr>
          <w:rFonts w:hint="eastAsia" w:ascii="Times New Roman" w:hAnsi="Times New Roman" w:eastAsia="宋体" w:cs="宋体"/>
          <w:color w:val="auto"/>
          <w:spacing w:val="-3"/>
        </w:rPr>
        <w:t xml:space="preserve">CSSCI/CASS </w:t>
      </w:r>
      <w:r>
        <w:rPr>
          <w:rFonts w:hint="eastAsia" w:ascii="Times New Roman" w:hAnsi="Times New Roman" w:eastAsia="宋体" w:cs="宋体"/>
          <w:color w:val="auto"/>
          <w:spacing w:val="-9"/>
        </w:rPr>
        <w:t xml:space="preserve">收录期刊文章加 </w:t>
      </w:r>
      <w:r>
        <w:rPr>
          <w:rFonts w:hint="eastAsia" w:ascii="Times New Roman" w:hAnsi="Times New Roman" w:eastAsia="宋体" w:cs="宋体"/>
          <w:color w:val="auto"/>
        </w:rPr>
        <w:t xml:space="preserve">6 </w:t>
      </w:r>
      <w:r>
        <w:rPr>
          <w:rFonts w:hint="eastAsia" w:ascii="Times New Roman" w:hAnsi="Times New Roman" w:eastAsia="宋体" w:cs="宋体"/>
          <w:color w:val="auto"/>
          <w:spacing w:val="-4"/>
        </w:rPr>
        <w:t>分，</w:t>
      </w:r>
      <w:r>
        <w:rPr>
          <w:rFonts w:hint="eastAsia" w:ascii="Times New Roman" w:hAnsi="Times New Roman" w:eastAsia="宋体" w:cs="宋体"/>
          <w:color w:val="auto"/>
          <w:spacing w:val="-5"/>
        </w:rPr>
        <w:t xml:space="preserve">CSSCI </w:t>
      </w:r>
      <w:r>
        <w:rPr>
          <w:rFonts w:hint="eastAsia" w:ascii="Times New Roman" w:hAnsi="Times New Roman" w:eastAsia="宋体" w:cs="宋体"/>
          <w:color w:val="auto"/>
          <w:spacing w:val="-11"/>
        </w:rPr>
        <w:t xml:space="preserve">集刊，扩展版加 </w:t>
      </w:r>
      <w:r>
        <w:rPr>
          <w:rFonts w:hint="eastAsia" w:ascii="Times New Roman" w:hAnsi="Times New Roman" w:eastAsia="宋体" w:cs="宋体"/>
          <w:color w:val="auto"/>
        </w:rPr>
        <w:t xml:space="preserve">3 </w:t>
      </w:r>
      <w:r>
        <w:rPr>
          <w:rFonts w:hint="eastAsia" w:ascii="Times New Roman" w:hAnsi="Times New Roman" w:eastAsia="宋体" w:cs="宋体"/>
          <w:color w:val="auto"/>
          <w:spacing w:val="-11"/>
        </w:rPr>
        <w:t xml:space="preserve">分，中文核心期刊加 </w:t>
      </w:r>
      <w:r>
        <w:rPr>
          <w:rFonts w:hint="eastAsia" w:ascii="Times New Roman" w:hAnsi="Times New Roman" w:eastAsia="宋体" w:cs="宋体"/>
          <w:color w:val="auto"/>
        </w:rPr>
        <w:t xml:space="preserve">3 </w:t>
      </w:r>
      <w:r>
        <w:rPr>
          <w:rFonts w:hint="eastAsia" w:ascii="Times New Roman" w:hAnsi="Times New Roman" w:eastAsia="宋体" w:cs="宋体"/>
          <w:color w:val="auto"/>
          <w:spacing w:val="-2"/>
        </w:rPr>
        <w:t>分。</w:t>
      </w:r>
      <w:r>
        <w:rPr>
          <w:rFonts w:hint="eastAsia" w:ascii="Times New Roman" w:hAnsi="Times New Roman" w:eastAsia="宋体" w:cs="宋体"/>
          <w:color w:val="auto"/>
        </w:rPr>
        <w:t xml:space="preserve"> </w:t>
      </w:r>
    </w:p>
    <w:p w14:paraId="7F45A14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非核心期刊根据论文质量，刊物等级等情况加 0.5~1 分，累计不超过 2 篇。</w:t>
      </w:r>
    </w:p>
    <w:p w14:paraId="4D11214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right="0" w:rightChars="0"/>
        <w:jc w:val="both"/>
        <w:textAlignment w:val="auto"/>
        <w:rPr>
          <w:rFonts w:hint="eastAsia" w:ascii="Times New Roman" w:hAnsi="Times New Roman" w:eastAsia="楷体" w:cs="楷体"/>
          <w:color w:val="auto"/>
          <w:lang w:val="en-US" w:eastAsia="zh-CN"/>
        </w:rPr>
      </w:pPr>
      <w:r>
        <w:rPr>
          <w:rFonts w:hint="eastAsia" w:ascii="Times New Roman" w:hAnsi="Times New Roman" w:eastAsia="楷体" w:cs="楷体"/>
          <w:b w:val="0"/>
          <w:bCs w:val="0"/>
          <w:color w:val="auto"/>
          <w:lang w:val="en-US" w:eastAsia="zh-CN"/>
        </w:rPr>
        <w:t>注：</w:t>
      </w:r>
      <w:r>
        <w:rPr>
          <w:rFonts w:hint="eastAsia" w:ascii="Times New Roman" w:hAnsi="Times New Roman" w:eastAsia="楷体" w:cs="楷体"/>
          <w:b w:val="0"/>
          <w:bCs w:val="0"/>
          <w:color w:val="auto"/>
          <w:spacing w:val="-5"/>
        </w:rPr>
        <w:t>计为加分因素的论文考虑学生为第一作者，如学生为第二作者，本院老师为第一作者，</w:t>
      </w:r>
      <w:r>
        <w:rPr>
          <w:rFonts w:hint="eastAsia" w:ascii="Times New Roman" w:hAnsi="Times New Roman" w:eastAsia="楷体" w:cs="楷体"/>
          <w:b w:val="0"/>
          <w:bCs w:val="0"/>
          <w:color w:val="auto"/>
          <w:spacing w:val="-7"/>
        </w:rPr>
        <w:t xml:space="preserve">在相应学习阶段正式发表的论文，则得分按原分值的 </w:t>
      </w:r>
      <w:r>
        <w:rPr>
          <w:rFonts w:hint="eastAsia" w:ascii="Times New Roman" w:hAnsi="Times New Roman" w:eastAsia="楷体" w:cs="楷体"/>
          <w:b w:val="0"/>
          <w:bCs w:val="0"/>
          <w:color w:val="auto"/>
        </w:rPr>
        <w:t>50%</w:t>
      </w:r>
      <w:r>
        <w:rPr>
          <w:rFonts w:hint="eastAsia" w:ascii="Times New Roman" w:hAnsi="Times New Roman" w:eastAsia="楷体" w:cs="楷体"/>
          <w:b w:val="0"/>
          <w:bCs w:val="0"/>
          <w:color w:val="auto"/>
          <w:lang w:val="en-US" w:eastAsia="zh-CN"/>
        </w:rPr>
        <w:t xml:space="preserve"> </w:t>
      </w:r>
      <w:r>
        <w:rPr>
          <w:rFonts w:hint="eastAsia" w:ascii="Times New Roman" w:hAnsi="Times New Roman" w:eastAsia="楷体" w:cs="楷体"/>
          <w:b w:val="0"/>
          <w:bCs w:val="0"/>
          <w:color w:val="auto"/>
          <w:spacing w:val="-3"/>
        </w:rPr>
        <w:t>计算</w:t>
      </w:r>
      <w:r>
        <w:rPr>
          <w:rFonts w:hint="eastAsia" w:ascii="Times New Roman" w:hAnsi="Times New Roman" w:eastAsia="楷体" w:cs="楷体"/>
          <w:b w:val="0"/>
          <w:bCs w:val="0"/>
          <w:color w:val="auto"/>
          <w:spacing w:val="-3"/>
          <w:lang w:eastAsia="zh-CN"/>
        </w:rPr>
        <w:t>；“</w:t>
      </w:r>
      <w:r>
        <w:rPr>
          <w:rFonts w:hint="eastAsia" w:ascii="Times New Roman" w:hAnsi="Times New Roman" w:eastAsia="楷体" w:cs="楷体"/>
          <w:b w:val="0"/>
          <w:bCs w:val="0"/>
          <w:color w:val="auto"/>
          <w:spacing w:val="-3"/>
          <w:lang w:val="en-US" w:eastAsia="zh-CN"/>
        </w:rPr>
        <w:t>共同一作”同样按</w:t>
      </w:r>
      <w:r>
        <w:rPr>
          <w:rFonts w:hint="eastAsia" w:ascii="Times New Roman" w:hAnsi="Times New Roman" w:eastAsia="楷体" w:cs="楷体"/>
          <w:b w:val="0"/>
          <w:bCs w:val="0"/>
          <w:color w:val="auto"/>
          <w:spacing w:val="-7"/>
        </w:rPr>
        <w:t xml:space="preserve">原分值的 </w:t>
      </w:r>
      <w:r>
        <w:rPr>
          <w:rFonts w:hint="eastAsia" w:ascii="Times New Roman" w:hAnsi="Times New Roman" w:eastAsia="楷体" w:cs="楷体"/>
          <w:b w:val="0"/>
          <w:bCs w:val="0"/>
          <w:color w:val="auto"/>
        </w:rPr>
        <w:t>50%</w:t>
      </w:r>
      <w:r>
        <w:rPr>
          <w:rFonts w:hint="eastAsia" w:ascii="Times New Roman" w:hAnsi="Times New Roman" w:eastAsia="楷体" w:cs="楷体"/>
          <w:b w:val="0"/>
          <w:bCs w:val="0"/>
          <w:color w:val="auto"/>
          <w:lang w:val="en-US" w:eastAsia="zh-CN"/>
        </w:rPr>
        <w:t xml:space="preserve"> </w:t>
      </w:r>
      <w:r>
        <w:rPr>
          <w:rFonts w:hint="eastAsia" w:ascii="Times New Roman" w:hAnsi="Times New Roman" w:eastAsia="楷体" w:cs="楷体"/>
          <w:b w:val="0"/>
          <w:bCs w:val="0"/>
          <w:color w:val="auto"/>
          <w:spacing w:val="-3"/>
        </w:rPr>
        <w:t>计算</w:t>
      </w:r>
      <w:r>
        <w:rPr>
          <w:rFonts w:hint="eastAsia" w:ascii="Times New Roman" w:hAnsi="Times New Roman" w:eastAsia="楷体" w:cs="楷体"/>
          <w:b w:val="0"/>
          <w:bCs w:val="0"/>
          <w:color w:val="auto"/>
          <w:spacing w:val="-3"/>
          <w:lang w:eastAsia="zh-CN"/>
        </w:rPr>
        <w:t>。</w:t>
      </w:r>
    </w:p>
    <w:p w14:paraId="3111F90E">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学术报告情况：</w:t>
      </w:r>
    </w:p>
    <w:p w14:paraId="61CA5BDF">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exact"/>
        <w:ind w:left="645" w:leftChars="0" w:right="0" w:hanging="425"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7"/>
        </w:rPr>
        <w:t>境内参加</w:t>
      </w:r>
      <w:r>
        <w:rPr>
          <w:rFonts w:hint="eastAsia" w:ascii="Times New Roman" w:hAnsi="Times New Roman" w:eastAsia="宋体" w:cs="宋体"/>
          <w:color w:val="auto"/>
          <w:spacing w:val="-4"/>
          <w:sz w:val="21"/>
          <w:szCs w:val="22"/>
          <w:lang w:val="zh-CN" w:eastAsia="zh-CN" w:bidi="zh-CN"/>
        </w:rPr>
        <w:t>学术</w:t>
      </w:r>
      <w:r>
        <w:rPr>
          <w:rFonts w:hint="eastAsia" w:ascii="Times New Roman" w:hAnsi="Times New Roman" w:cs="宋体"/>
          <w:color w:val="auto"/>
          <w:spacing w:val="-4"/>
          <w:sz w:val="21"/>
          <w:szCs w:val="22"/>
          <w:lang w:val="en-US" w:eastAsia="zh-CN" w:bidi="zh-CN"/>
        </w:rPr>
        <w:t>会议</w:t>
      </w:r>
    </w:p>
    <w:p w14:paraId="55FADC3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cs="宋体"/>
          <w:color w:val="auto"/>
          <w:spacing w:val="-4"/>
          <w:sz w:val="21"/>
          <w:szCs w:val="22"/>
          <w:lang w:val="en-US" w:eastAsia="zh-CN" w:bidi="zh-CN"/>
        </w:rPr>
        <w:t>境内参加</w:t>
      </w:r>
      <w:r>
        <w:rPr>
          <w:rFonts w:hint="eastAsia" w:ascii="Times New Roman" w:hAnsi="Times New Roman" w:eastAsia="宋体" w:cs="宋体"/>
          <w:color w:val="auto"/>
          <w:spacing w:val="-7"/>
        </w:rPr>
        <w:t xml:space="preserve">国际会议，且提交学术论文，进行学术报告为会议收录加 </w:t>
      </w:r>
      <w:r>
        <w:rPr>
          <w:rFonts w:hint="eastAsia" w:ascii="Times New Roman" w:hAnsi="Times New Roman" w:eastAsia="宋体" w:cs="宋体"/>
          <w:color w:val="auto"/>
        </w:rPr>
        <w:t>0.5</w:t>
      </w:r>
      <w:r>
        <w:rPr>
          <w:rFonts w:hint="eastAsia" w:ascii="Times New Roman" w:hAnsi="Times New Roman" w:eastAsia="宋体" w:cs="宋体"/>
          <w:color w:val="auto"/>
          <w:spacing w:val="6"/>
        </w:rPr>
        <w:t xml:space="preserve"> </w:t>
      </w:r>
      <w:r>
        <w:rPr>
          <w:rFonts w:hint="eastAsia" w:ascii="Times New Roman" w:hAnsi="Times New Roman" w:eastAsia="宋体" w:cs="宋体"/>
          <w:color w:val="auto"/>
          <w:spacing w:val="-4"/>
        </w:rPr>
        <w:t xml:space="preserve">分； </w:t>
      </w:r>
    </w:p>
    <w:p w14:paraId="3A122C00">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cs="宋体"/>
          <w:color w:val="auto"/>
          <w:spacing w:val="-4"/>
          <w:sz w:val="21"/>
          <w:szCs w:val="22"/>
          <w:lang w:val="en-US" w:eastAsia="zh-CN" w:bidi="zh-CN"/>
        </w:rPr>
        <w:t>境内</w:t>
      </w:r>
      <w:r>
        <w:rPr>
          <w:rFonts w:hint="eastAsia" w:ascii="Times New Roman" w:hAnsi="Times New Roman" w:eastAsia="宋体" w:cs="宋体"/>
          <w:color w:val="auto"/>
          <w:spacing w:val="-8"/>
        </w:rPr>
        <w:t xml:space="preserve">参加国内会议，且提交学术论文为会议收录加 </w:t>
      </w:r>
      <w:r>
        <w:rPr>
          <w:rFonts w:hint="eastAsia" w:ascii="Times New Roman" w:hAnsi="Times New Roman" w:eastAsia="宋体" w:cs="宋体"/>
          <w:color w:val="auto"/>
        </w:rPr>
        <w:t>0.25</w:t>
      </w:r>
      <w:r>
        <w:rPr>
          <w:rFonts w:hint="eastAsia" w:ascii="Times New Roman" w:hAnsi="Times New Roman" w:eastAsia="宋体" w:cs="宋体"/>
          <w:color w:val="auto"/>
          <w:spacing w:val="-5"/>
        </w:rPr>
        <w:t xml:space="preserve"> </w:t>
      </w:r>
      <w:r>
        <w:rPr>
          <w:rFonts w:hint="eastAsia" w:ascii="Times New Roman" w:hAnsi="Times New Roman" w:eastAsia="宋体" w:cs="宋体"/>
          <w:color w:val="auto"/>
          <w:spacing w:val="-2"/>
        </w:rPr>
        <w:t>分；</w:t>
      </w:r>
      <w:r>
        <w:rPr>
          <w:rFonts w:hint="eastAsia" w:ascii="Times New Roman" w:hAnsi="Times New Roman" w:eastAsia="宋体" w:cs="宋体"/>
          <w:color w:val="auto"/>
        </w:rPr>
        <w:t xml:space="preserve"> </w:t>
      </w:r>
    </w:p>
    <w:p w14:paraId="695503C0">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220" w:leftChars="100" w:right="0" w:firstLine="0" w:firstLineChars="0"/>
        <w:jc w:val="both"/>
        <w:textAlignment w:val="auto"/>
        <w:rPr>
          <w:rFonts w:hint="eastAsia" w:ascii="Times New Roman" w:hAnsi="Times New Roman" w:eastAsia="宋体" w:cs="宋体"/>
          <w:color w:val="auto"/>
          <w:lang w:eastAsia="zh-CN"/>
        </w:rPr>
      </w:pPr>
      <w:r>
        <w:rPr>
          <w:rFonts w:hint="eastAsia" w:ascii="Times New Roman" w:hAnsi="Times New Roman" w:cs="宋体"/>
          <w:color w:val="auto"/>
          <w:spacing w:val="-4"/>
          <w:sz w:val="21"/>
          <w:szCs w:val="22"/>
          <w:lang w:val="en-US" w:eastAsia="zh-CN" w:bidi="zh-CN"/>
        </w:rPr>
        <w:t>境内</w:t>
      </w:r>
      <w:r>
        <w:rPr>
          <w:rFonts w:hint="eastAsia" w:ascii="Times New Roman" w:hAnsi="Times New Roman" w:eastAsia="宋体" w:cs="宋体"/>
          <w:color w:val="auto"/>
        </w:rPr>
        <w:t>参加省级研究生论坛和省级学会论文获得一等奖及以上加 0.5 分，获得三等奖及以上加0.25 分。</w:t>
      </w:r>
      <w:r>
        <w:rPr>
          <w:rFonts w:hint="eastAsia" w:ascii="Times New Roman" w:hAnsi="Times New Roman" w:cs="宋体"/>
          <w:color w:val="auto"/>
          <w:lang w:eastAsia="zh-CN"/>
        </w:rPr>
        <w:t>；</w:t>
      </w:r>
    </w:p>
    <w:p w14:paraId="7F6C6A2A">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220" w:leftChars="100" w:right="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硕士研究生参加校庆报告会且提交论文被评为校级优秀加 0.25 分；</w:t>
      </w:r>
    </w:p>
    <w:p w14:paraId="6B7D77B7">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exact"/>
        <w:ind w:left="645" w:leftChars="0" w:right="0" w:hanging="425"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境外参加国际会议，且提交学术论文，进行学术报告加 0.5 分。</w:t>
      </w:r>
    </w:p>
    <w:p w14:paraId="2BE308F9">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sz w:val="26"/>
        </w:rPr>
      </w:pPr>
      <w:r>
        <w:rPr>
          <w:rFonts w:hint="eastAsia" w:ascii="Times New Roman" w:hAnsi="Times New Roman" w:eastAsia="楷体" w:cs="楷体"/>
          <w:color w:val="auto"/>
          <w:lang w:val="en-US" w:eastAsia="zh-CN"/>
        </w:rPr>
        <w:t>注：</w:t>
      </w:r>
      <w:r>
        <w:rPr>
          <w:rFonts w:hint="eastAsia" w:ascii="Times New Roman" w:hAnsi="Times New Roman" w:eastAsia="楷体" w:cs="楷体"/>
          <w:color w:val="auto"/>
        </w:rPr>
        <w:t>同一篇论文不重复计分，取最高分值。</w:t>
      </w:r>
    </w:p>
    <w:p w14:paraId="18A3CBF5">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实践竞赛：</w:t>
      </w:r>
    </w:p>
    <w:p w14:paraId="64E50BA8">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eastAsia="宋体" w:cs="宋体"/>
          <w:color w:val="auto"/>
          <w:spacing w:val="-7"/>
          <w:sz w:val="21"/>
          <w:szCs w:val="21"/>
        </w:rPr>
      </w:pPr>
      <w:r>
        <w:rPr>
          <w:rFonts w:hint="eastAsia" w:ascii="Times New Roman" w:hAnsi="Times New Roman" w:eastAsia="宋体" w:cs="宋体"/>
          <w:color w:val="auto"/>
          <w:spacing w:val="-7"/>
          <w:sz w:val="21"/>
        </w:rPr>
        <w:t>参加纳入</w:t>
      </w:r>
      <w:r>
        <w:rPr>
          <w:rFonts w:hint="eastAsia" w:ascii="Times New Roman" w:hAnsi="Times New Roman" w:eastAsia="宋体" w:cs="宋体"/>
          <w:color w:val="auto"/>
          <w:spacing w:val="-7"/>
          <w:sz w:val="21"/>
          <w:szCs w:val="21"/>
        </w:rPr>
        <w:t>中国研究生创新实践系列大赛范围内的国家级比赛（公共管理案例大赛、数模竞赛），或其他国家级重要比赛如：“互联网+”大学生创新创业大赛，“挑战杯”中国大学生课外学术科技作品竞赛、“创青春”全国大学生创业计划竞赛等，获得国家级一等奖加</w:t>
      </w:r>
      <w:r>
        <w:rPr>
          <w:rFonts w:hint="eastAsia" w:ascii="Times New Roman" w:hAnsi="Times New Roman" w:cs="宋体"/>
          <w:color w:val="auto"/>
          <w:spacing w:val="-7"/>
          <w:sz w:val="21"/>
          <w:szCs w:val="21"/>
          <w:lang w:val="en-US" w:eastAsia="zh-CN"/>
        </w:rPr>
        <w:t xml:space="preserve"> </w:t>
      </w:r>
      <w:r>
        <w:rPr>
          <w:rFonts w:hint="eastAsia" w:ascii="Times New Roman" w:hAnsi="Times New Roman" w:eastAsia="宋体" w:cs="宋体"/>
          <w:color w:val="auto"/>
          <w:spacing w:val="-7"/>
          <w:sz w:val="21"/>
          <w:szCs w:val="21"/>
        </w:rPr>
        <w:t xml:space="preserve">12 分，二等奖 6 分，三等奖 4 分；省级奖项一等奖加 6 分，二等奖 3 分，三等奖 2 分。 </w:t>
      </w:r>
    </w:p>
    <w:p w14:paraId="3373D224">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w:t>
      </w:r>
      <w:r>
        <w:rPr>
          <w:rFonts w:hint="eastAsia" w:ascii="Times New Roman" w:hAnsi="Times New Roman" w:eastAsia="宋体" w:cs="宋体"/>
          <w:color w:val="auto"/>
          <w:spacing w:val="-7"/>
          <w:sz w:val="21"/>
          <w:szCs w:val="21"/>
        </w:rPr>
        <w:t>省级学会比赛按照互联网+等实践类竞赛分数减半，特等按一等</w:t>
      </w:r>
      <w:r>
        <w:rPr>
          <w:rFonts w:hint="eastAsia" w:ascii="Times New Roman" w:hAnsi="Times New Roman" w:cs="宋体"/>
          <w:color w:val="auto"/>
          <w:spacing w:val="-7"/>
          <w:sz w:val="21"/>
          <w:szCs w:val="21"/>
          <w:lang w:val="en-US" w:eastAsia="zh-CN"/>
        </w:rPr>
        <w:t>计算；</w:t>
      </w:r>
    </w:p>
    <w:p w14:paraId="01B5E3D7">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参加江苏高校心理情景剧大赛（定向组队，江苏省心理学会主办），省级一等奖加 1 分，省级二等奖 0.5 分；</w:t>
      </w:r>
    </w:p>
    <w:p w14:paraId="5D4F8C74">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参加江苏省团干部思政技能大比武，加分按照省赛减半计算，即</w:t>
      </w:r>
      <w:r>
        <w:rPr>
          <w:rFonts w:hint="eastAsia" w:ascii="Times New Roman" w:hAnsi="Times New Roman" w:eastAsia="宋体" w:cs="宋体"/>
          <w:color w:val="auto"/>
          <w:spacing w:val="-7"/>
          <w:sz w:val="21"/>
          <w:szCs w:val="21"/>
        </w:rPr>
        <w:t>省级一等奖加</w:t>
      </w:r>
      <w:r>
        <w:rPr>
          <w:rFonts w:hint="eastAsia" w:ascii="Times New Roman" w:hAnsi="Times New Roman" w:cs="宋体"/>
          <w:color w:val="auto"/>
          <w:spacing w:val="-7"/>
          <w:sz w:val="21"/>
          <w:szCs w:val="21"/>
          <w:lang w:val="en-US" w:eastAsia="zh-CN"/>
        </w:rPr>
        <w:t xml:space="preserve"> 3 </w:t>
      </w:r>
      <w:r>
        <w:rPr>
          <w:rFonts w:hint="eastAsia" w:ascii="Times New Roman" w:hAnsi="Times New Roman" w:eastAsia="宋体" w:cs="宋体"/>
          <w:color w:val="auto"/>
          <w:spacing w:val="-7"/>
          <w:sz w:val="21"/>
          <w:szCs w:val="21"/>
        </w:rPr>
        <w:t xml:space="preserve">分，二等奖 </w:t>
      </w:r>
      <w:r>
        <w:rPr>
          <w:rFonts w:hint="eastAsia" w:ascii="Times New Roman" w:hAnsi="Times New Roman" w:cs="宋体"/>
          <w:color w:val="auto"/>
          <w:spacing w:val="-7"/>
          <w:sz w:val="21"/>
          <w:szCs w:val="21"/>
          <w:lang w:val="en-US" w:eastAsia="zh-CN"/>
        </w:rPr>
        <w:t xml:space="preserve">1.5 </w:t>
      </w:r>
      <w:r>
        <w:rPr>
          <w:rFonts w:hint="eastAsia" w:ascii="Times New Roman" w:hAnsi="Times New Roman" w:eastAsia="宋体" w:cs="宋体"/>
          <w:color w:val="auto"/>
          <w:spacing w:val="-7"/>
          <w:sz w:val="21"/>
          <w:szCs w:val="21"/>
        </w:rPr>
        <w:t>分，三等奖</w:t>
      </w:r>
      <w:r>
        <w:rPr>
          <w:rFonts w:hint="eastAsia" w:ascii="Times New Roman" w:hAnsi="Times New Roman" w:cs="宋体"/>
          <w:color w:val="auto"/>
          <w:spacing w:val="-7"/>
          <w:sz w:val="21"/>
          <w:szCs w:val="21"/>
          <w:lang w:val="en-US" w:eastAsia="zh-CN"/>
        </w:rPr>
        <w:t xml:space="preserve"> 1 </w:t>
      </w:r>
      <w:r>
        <w:rPr>
          <w:rFonts w:hint="eastAsia" w:ascii="Times New Roman" w:hAnsi="Times New Roman" w:eastAsia="宋体" w:cs="宋体"/>
          <w:color w:val="auto"/>
          <w:spacing w:val="-7"/>
          <w:sz w:val="21"/>
          <w:szCs w:val="21"/>
        </w:rPr>
        <w:t>分</w:t>
      </w:r>
      <w:r>
        <w:rPr>
          <w:rFonts w:hint="eastAsia" w:ascii="Times New Roman" w:hAnsi="Times New Roman" w:cs="宋体"/>
          <w:color w:val="auto"/>
          <w:spacing w:val="-7"/>
          <w:sz w:val="21"/>
          <w:szCs w:val="21"/>
          <w:lang w:val="en-US" w:eastAsia="zh-CN"/>
        </w:rPr>
        <w:t>；</w:t>
      </w:r>
    </w:p>
    <w:p w14:paraId="3F717932">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eastAsia="宋体" w:cs="宋体"/>
          <w:b w:val="0"/>
          <w:bCs w:val="0"/>
          <w:color w:val="auto"/>
        </w:rPr>
      </w:pPr>
      <w:r>
        <w:rPr>
          <w:rFonts w:hint="eastAsia" w:ascii="Times New Roman" w:hAnsi="Times New Roman" w:cs="宋体"/>
          <w:color w:val="auto"/>
          <w:spacing w:val="-7"/>
          <w:sz w:val="21"/>
          <w:szCs w:val="21"/>
          <w:lang w:val="en-US" w:eastAsia="zh-CN"/>
        </w:rPr>
        <w:t>参加教委会下设的子委员会举办的活动按照参加学术会议计算，加 0.25 分。</w:t>
      </w:r>
    </w:p>
    <w:p w14:paraId="50F459E4">
      <w:pPr>
        <w:pStyle w:val="7"/>
        <w:keepNext w:val="0"/>
        <w:keepLines w:val="0"/>
        <w:pageBreakBefore w:val="0"/>
        <w:widowControl w:val="0"/>
        <w:numPr>
          <w:ilvl w:val="0"/>
          <w:numId w:val="8"/>
        </w:numPr>
        <w:tabs>
          <w:tab w:val="left" w:pos="635"/>
        </w:tabs>
        <w:kinsoku/>
        <w:wordWrap/>
        <w:overflowPunct/>
        <w:topLinePunct w:val="0"/>
        <w:autoSpaceDE w:val="0"/>
        <w:autoSpaceDN w:val="0"/>
        <w:bidi w:val="0"/>
        <w:adjustRightInd/>
        <w:snapToGrid/>
        <w:spacing w:before="0" w:after="0" w:line="360" w:lineRule="exact"/>
        <w:ind w:left="48" w:leftChars="0" w:right="0" w:rightChars="0" w:firstLine="392" w:firstLineChars="0"/>
        <w:jc w:val="both"/>
        <w:textAlignment w:val="auto"/>
        <w:rPr>
          <w:rFonts w:hint="eastAsia" w:ascii="Times New Roman" w:hAnsi="Times New Roman" w:eastAsia="宋体" w:cs="宋体"/>
          <w:b w:val="0"/>
          <w:bCs w:val="0"/>
          <w:color w:val="auto"/>
        </w:rPr>
      </w:pPr>
      <w:r>
        <w:rPr>
          <w:rFonts w:hint="eastAsia" w:ascii="Times New Roman" w:hAnsi="Times New Roman" w:eastAsia="宋体" w:cs="宋体"/>
          <w:b w:val="0"/>
          <w:bCs w:val="0"/>
          <w:color w:val="auto"/>
          <w:spacing w:val="-7"/>
          <w:sz w:val="21"/>
          <w:szCs w:val="21"/>
        </w:rPr>
        <w:t>其他省级以上竞赛获奖由个人提交证明材料，由学科和评审会讨论确定是否加分及具体</w:t>
      </w:r>
      <w:r>
        <w:rPr>
          <w:rFonts w:hint="eastAsia" w:ascii="Times New Roman" w:hAnsi="Times New Roman" w:eastAsia="宋体" w:cs="宋体"/>
          <w:b w:val="0"/>
          <w:bCs w:val="0"/>
          <w:color w:val="auto"/>
          <w:sz w:val="21"/>
          <w:szCs w:val="21"/>
        </w:rPr>
        <w:t>分值。</w:t>
      </w:r>
    </w:p>
    <w:p w14:paraId="133659FB">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科研成果情况：</w:t>
      </w:r>
    </w:p>
    <w:p w14:paraId="5A867E54">
      <w:pPr>
        <w:pStyle w:val="7"/>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0" w:after="0" w:line="360" w:lineRule="exact"/>
        <w:ind w:left="0" w:right="0" w:rightChars="0" w:firstLine="400" w:firstLineChars="20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5"/>
          <w:sz w:val="21"/>
        </w:rPr>
        <w:t xml:space="preserve">获得各类研究课题或参加导师研究项目等取得突出成绩者，可在申请奖项时提交相关材料，交由评审委员会讨论并确定是否予以加分及具体的加分数。 </w:t>
      </w:r>
    </w:p>
    <w:p w14:paraId="1271C29F">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楷体" w:cs="楷体"/>
          <w:b w:val="0"/>
          <w:bCs w:val="0"/>
          <w:color w:val="auto"/>
          <w:spacing w:val="-9"/>
        </w:rPr>
      </w:pPr>
    </w:p>
    <w:p w14:paraId="34DD36E5">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sz w:val="17"/>
        </w:rPr>
      </w:pPr>
      <w:r>
        <w:rPr>
          <w:rFonts w:hint="eastAsia" w:ascii="Times New Roman" w:hAnsi="Times New Roman" w:eastAsia="楷体" w:cs="楷体"/>
          <w:b w:val="0"/>
          <w:bCs w:val="0"/>
          <w:color w:val="auto"/>
          <w:spacing w:val="-9"/>
        </w:rPr>
        <w:t>注：本次申请提交的成果</w:t>
      </w:r>
      <w:r>
        <w:rPr>
          <w:rFonts w:hint="eastAsia" w:ascii="Times New Roman" w:hAnsi="Times New Roman" w:eastAsia="楷体" w:cs="楷体"/>
          <w:b w:val="0"/>
          <w:bCs w:val="0"/>
          <w:color w:val="auto"/>
          <w:spacing w:val="-3"/>
        </w:rPr>
        <w:t>（</w:t>
      </w:r>
      <w:r>
        <w:rPr>
          <w:rFonts w:hint="eastAsia" w:ascii="Times New Roman" w:hAnsi="Times New Roman" w:eastAsia="楷体" w:cs="楷体"/>
          <w:b w:val="0"/>
          <w:bCs w:val="0"/>
          <w:color w:val="auto"/>
          <w:spacing w:val="-2"/>
        </w:rPr>
        <w:t>所有科研成果以实际发表为准</w:t>
      </w:r>
      <w:r>
        <w:rPr>
          <w:rFonts w:hint="eastAsia" w:ascii="Times New Roman" w:hAnsi="Times New Roman" w:eastAsia="楷体" w:cs="楷体"/>
          <w:b w:val="0"/>
          <w:bCs w:val="0"/>
          <w:color w:val="auto"/>
        </w:rPr>
        <w:t>)</w:t>
      </w:r>
      <w:r>
        <w:rPr>
          <w:rFonts w:hint="eastAsia" w:ascii="Times New Roman" w:hAnsi="Times New Roman" w:eastAsia="楷体" w:cs="楷体"/>
          <w:b w:val="0"/>
          <w:bCs w:val="0"/>
          <w:color w:val="auto"/>
          <w:spacing w:val="-9"/>
        </w:rPr>
        <w:t>截止时间</w:t>
      </w:r>
      <w:r>
        <w:rPr>
          <w:rFonts w:hint="eastAsia" w:ascii="Times New Roman" w:hAnsi="Times New Roman" w:eastAsia="楷体" w:cs="楷体"/>
          <w:b w:val="0"/>
          <w:bCs w:val="0"/>
          <w:color w:val="auto"/>
          <w:spacing w:val="-9"/>
          <w:lang w:val="en-US" w:eastAsia="zh-CN"/>
        </w:rPr>
        <w:t>为2025年9月30日</w:t>
      </w:r>
      <w:r>
        <w:rPr>
          <w:rFonts w:hint="eastAsia" w:ascii="Times New Roman" w:hAnsi="Times New Roman" w:eastAsia="楷体" w:cs="楷体"/>
          <w:b w:val="0"/>
          <w:bCs w:val="0"/>
          <w:color w:val="auto"/>
          <w:spacing w:val="-5"/>
        </w:rPr>
        <w:t>，且在科研成绩评定中只能使用一次。</w:t>
      </w:r>
    </w:p>
    <w:p w14:paraId="0E0C2A7B">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三、综合表现 </w:t>
      </w:r>
    </w:p>
    <w:p w14:paraId="42905F34">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积极参与学校院系举办的各项集体活动。根据团支部</w:t>
      </w:r>
      <w:r>
        <w:rPr>
          <w:rFonts w:hint="eastAsia" w:ascii="Times New Roman" w:hAnsi="Times New Roman" w:cs="宋体"/>
          <w:color w:val="auto"/>
          <w:lang w:eastAsia="zh-CN"/>
        </w:rPr>
        <w:t>、</w:t>
      </w:r>
      <w:r>
        <w:rPr>
          <w:rFonts w:hint="eastAsia" w:ascii="Times New Roman" w:hAnsi="Times New Roman" w:eastAsia="宋体" w:cs="宋体"/>
          <w:color w:val="auto"/>
        </w:rPr>
        <w:t>班级</w:t>
      </w:r>
      <w:r>
        <w:rPr>
          <w:rFonts w:hint="eastAsia" w:ascii="Times New Roman" w:hAnsi="Times New Roman" w:cs="宋体"/>
          <w:color w:val="auto"/>
          <w:lang w:eastAsia="zh-CN"/>
        </w:rPr>
        <w:t>、</w:t>
      </w:r>
      <w:r>
        <w:rPr>
          <w:rFonts w:hint="eastAsia" w:ascii="Times New Roman" w:hAnsi="Times New Roman" w:eastAsia="宋体" w:cs="宋体"/>
          <w:color w:val="auto"/>
        </w:rPr>
        <w:t>党支部记录等，核对并认定参与情况良好者（参与次数达全部集体活动 80%以上）加 1 分；</w:t>
      </w:r>
    </w:p>
    <w:p w14:paraId="7742968B">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参加学校及学院组织的志愿服务三次以上，或服务时长超过 8 小时，表现良好者加 1.2分；</w:t>
      </w:r>
    </w:p>
    <w:p w14:paraId="3474AD2D">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开展社会实践项目且团队获得校级以上表彰，实践团队负责人加 1.5 分，参与并承担主要实践工作者加 1.2 分（每团队不超过 3 人）；</w:t>
      </w:r>
    </w:p>
    <w:p w14:paraId="05281E78">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担任院主要学生组织（研究生会、心理分中心、党支部工作站）主要负责人且师生考评为优秀者加 1.5</w:t>
      </w:r>
      <w:r>
        <w:rPr>
          <w:rFonts w:hint="eastAsia" w:ascii="Times New Roman" w:hAnsi="Times New Roman" w:cs="宋体"/>
          <w:color w:val="auto"/>
          <w:lang w:val="en-US" w:eastAsia="zh-CN"/>
        </w:rPr>
        <w:t>-</w:t>
      </w:r>
      <w:r>
        <w:rPr>
          <w:rFonts w:hint="eastAsia" w:ascii="Times New Roman" w:hAnsi="Times New Roman" w:eastAsia="宋体" w:cs="宋体"/>
          <w:color w:val="auto"/>
        </w:rPr>
        <w:t>2 分；（所在集体获得校级以上荣誉称号或奖励，另酌情给予 0.5</w:t>
      </w:r>
      <w:r>
        <w:rPr>
          <w:rFonts w:hint="eastAsia" w:ascii="Times New Roman" w:hAnsi="Times New Roman" w:cs="宋体"/>
          <w:color w:val="auto"/>
          <w:lang w:val="en-US" w:eastAsia="zh-CN"/>
        </w:rPr>
        <w:t>-</w:t>
      </w:r>
      <w:r>
        <w:rPr>
          <w:rFonts w:hint="eastAsia" w:ascii="Times New Roman" w:hAnsi="Times New Roman" w:eastAsia="宋体" w:cs="宋体"/>
          <w:color w:val="auto"/>
        </w:rPr>
        <w:t>1 分的加分）；</w:t>
      </w:r>
    </w:p>
    <w:p w14:paraId="32FA11FA">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担任班长、党支书</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基本完成事务工作</w:t>
      </w:r>
      <w:r>
        <w:rPr>
          <w:rFonts w:hint="eastAsia" w:ascii="Times New Roman" w:hAnsi="Times New Roman" w:eastAsia="宋体" w:cs="宋体"/>
          <w:color w:val="auto"/>
        </w:rPr>
        <w:t>但未</w:t>
      </w:r>
      <w:r>
        <w:rPr>
          <w:rFonts w:hint="eastAsia" w:ascii="Times New Roman" w:hAnsi="Times New Roman" w:eastAsia="宋体" w:cs="宋体"/>
          <w:color w:val="auto"/>
          <w:lang w:val="en-US" w:eastAsia="zh-CN"/>
        </w:rPr>
        <w:t>积极</w:t>
      </w:r>
      <w:r>
        <w:rPr>
          <w:rFonts w:hint="eastAsia" w:ascii="Times New Roman" w:hAnsi="Times New Roman" w:eastAsia="宋体" w:cs="宋体"/>
          <w:color w:val="auto"/>
        </w:rPr>
        <w:t>申报集体荣誉及活动</w:t>
      </w:r>
      <w:r>
        <w:rPr>
          <w:rFonts w:hint="eastAsia" w:ascii="Times New Roman" w:hAnsi="Times New Roman" w:eastAsia="宋体" w:cs="宋体"/>
          <w:color w:val="auto"/>
          <w:lang w:eastAsia="zh-CN"/>
        </w:rPr>
        <w:t>，</w:t>
      </w:r>
      <w:r>
        <w:rPr>
          <w:rFonts w:hint="eastAsia" w:ascii="Times New Roman" w:hAnsi="Times New Roman" w:eastAsia="宋体" w:cs="宋体"/>
          <w:color w:val="auto"/>
        </w:rPr>
        <w:t>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1.5</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较好完成事务工作且积极</w:t>
      </w:r>
      <w:r>
        <w:rPr>
          <w:rFonts w:hint="eastAsia" w:ascii="Times New Roman" w:hAnsi="Times New Roman" w:eastAsia="宋体" w:cs="宋体"/>
          <w:color w:val="auto"/>
        </w:rPr>
        <w:t>申报相关集体奖项及活动加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2</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p>
    <w:p w14:paraId="2D46DDA6">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担任团支书</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基本完成事务工作且</w:t>
      </w:r>
      <w:r>
        <w:rPr>
          <w:rFonts w:hint="eastAsia" w:ascii="Times New Roman" w:hAnsi="Times New Roman" w:eastAsia="宋体" w:cs="宋体"/>
          <w:color w:val="auto"/>
        </w:rPr>
        <w:t>申报磐石计划获合格加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1.5</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r>
        <w:rPr>
          <w:rFonts w:hint="eastAsia" w:ascii="Times New Roman" w:hAnsi="Times New Roman" w:eastAsia="宋体" w:cs="宋体"/>
          <w:color w:val="auto"/>
          <w:lang w:val="en-US" w:eastAsia="zh-CN"/>
        </w:rPr>
        <w:t>较好完成事务工作并</w:t>
      </w:r>
      <w:r>
        <w:rPr>
          <w:rFonts w:hint="eastAsia" w:ascii="Times New Roman" w:hAnsi="Times New Roman" w:eastAsia="宋体" w:cs="宋体"/>
          <w:color w:val="auto"/>
        </w:rPr>
        <w:t>申报磐石计划获优秀加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2</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p>
    <w:p w14:paraId="6F6B1EE1">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担任班级心理委员，党支部委员且师生考评优秀者加 1.2</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1.5 分</w:t>
      </w:r>
      <w:r>
        <w:rPr>
          <w:rFonts w:hint="eastAsia" w:ascii="Times New Roman" w:hAnsi="Times New Roman" w:cs="宋体"/>
          <w:color w:val="auto"/>
          <w:lang w:eastAsia="zh-CN"/>
        </w:rPr>
        <w:t>，</w:t>
      </w:r>
      <w:r>
        <w:rPr>
          <w:rFonts w:hint="eastAsia" w:ascii="Times New Roman" w:hAnsi="Times New Roman" w:eastAsia="宋体" w:cs="宋体"/>
          <w:color w:val="auto"/>
        </w:rPr>
        <w:t>所在集体获得校级以上荣誉称号或奖励，</w:t>
      </w:r>
      <w:r>
        <w:rPr>
          <w:rFonts w:hint="eastAsia" w:ascii="Times New Roman" w:hAnsi="Times New Roman" w:cs="宋体"/>
          <w:color w:val="auto"/>
          <w:lang w:val="en-US" w:eastAsia="zh-CN"/>
        </w:rPr>
        <w:t>加1.5分。</w:t>
      </w:r>
    </w:p>
    <w:p w14:paraId="74690CB4">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担任学校其他学生组织主要负责人，且考评优秀者加 1.2</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1.5 分；</w:t>
      </w:r>
    </w:p>
    <w:p w14:paraId="1493939F">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在其他社会工作中做出特殊贡献者，经评审委员会商定，酌情给予 0.8</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2分的加分。</w:t>
      </w:r>
    </w:p>
    <w:p w14:paraId="67B46AFB">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cs="宋体"/>
          <w:color w:val="auto"/>
          <w:lang w:eastAsia="zh-CN"/>
        </w:rPr>
      </w:pPr>
      <w:r>
        <w:rPr>
          <w:rFonts w:hint="eastAsia" w:ascii="Times New Roman" w:hAnsi="Times New Roman" w:eastAsia="楷体" w:cs="楷体"/>
          <w:color w:val="auto"/>
        </w:rPr>
        <w:t>注：社会工作各项分数不累计加分，取最高分</w:t>
      </w:r>
      <w:r>
        <w:rPr>
          <w:rFonts w:hint="eastAsia" w:ascii="Times New Roman" w:hAnsi="Times New Roman" w:eastAsia="楷体" w:cs="楷体"/>
          <w:color w:val="auto"/>
          <w:lang w:eastAsia="zh-CN"/>
        </w:rPr>
        <w:t>；</w:t>
      </w:r>
    </w:p>
    <w:p w14:paraId="5E8B9A27">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Times New Roman" w:hAnsi="Times New Roman" w:cs="宋体"/>
          <w:color w:val="auto"/>
          <w:lang w:eastAsia="zh-CN"/>
        </w:rPr>
        <w:sectPr>
          <w:type w:val="continuous"/>
          <w:pgSz w:w="11910" w:h="16850"/>
          <w:pgMar w:top="1440" w:right="1800" w:bottom="1440" w:left="1800" w:header="720" w:footer="720" w:gutter="0"/>
          <w:cols w:space="720" w:num="1"/>
        </w:sectPr>
      </w:pPr>
    </w:p>
    <w:p w14:paraId="14FA7BA0">
      <w:pPr>
        <w:pStyle w:val="3"/>
        <w:keepNext w:val="0"/>
        <w:keepLines w:val="0"/>
        <w:pageBreakBefore w:val="0"/>
        <w:kinsoku/>
        <w:wordWrap/>
        <w:overflowPunct/>
        <w:topLinePunct w:val="0"/>
        <w:autoSpaceDE w:val="0"/>
        <w:autoSpaceDN w:val="0"/>
        <w:bidi w:val="0"/>
        <w:adjustRightInd/>
        <w:snapToGrid/>
        <w:spacing w:before="54" w:line="360" w:lineRule="exact"/>
        <w:ind w:left="0" w:leftChars="0" w:firstLine="0" w:firstLineChars="0"/>
        <w:jc w:val="both"/>
        <w:textAlignment w:val="auto"/>
        <w:rPr>
          <w:rFonts w:hint="eastAsia" w:ascii="Times New Roman" w:hAnsi="Times New Roman" w:eastAsia="宋体" w:cs="宋体"/>
          <w:color w:val="auto"/>
          <w:sz w:val="15"/>
        </w:rPr>
      </w:pPr>
      <w:r>
        <w:rPr>
          <w:rFonts w:hint="eastAsia" w:ascii="仿宋" w:hAnsi="仿宋" w:eastAsia="仿宋" w:cs="仿宋"/>
          <w:color w:val="auto"/>
        </w:rPr>
        <w:t>附件二：</w:t>
      </w:r>
    </w:p>
    <w:p w14:paraId="530EF10E">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center"/>
        <w:textAlignment w:val="auto"/>
        <w:rPr>
          <w:rFonts w:hint="eastAsia" w:ascii="Times New Roman" w:hAnsi="Times New Roman" w:eastAsia="黑体" w:cs="黑体"/>
          <w:b/>
          <w:bCs/>
          <w:color w:val="auto"/>
          <w:sz w:val="28"/>
          <w:szCs w:val="28"/>
        </w:rPr>
      </w:pPr>
      <w:r>
        <w:rPr>
          <w:rFonts w:hint="eastAsia" w:ascii="Times New Roman" w:hAnsi="Times New Roman" w:eastAsia="黑体" w:cs="黑体"/>
          <w:b/>
          <w:bCs/>
          <w:color w:val="auto"/>
          <w:sz w:val="28"/>
          <w:szCs w:val="28"/>
        </w:rPr>
        <w:t>人文学院博士研究生学业奖学金评定细则</w:t>
      </w:r>
    </w:p>
    <w:p w14:paraId="70ED01D9">
      <w:pPr>
        <w:pStyle w:val="3"/>
        <w:keepNext w:val="0"/>
        <w:keepLines w:val="0"/>
        <w:pageBreakBefore w:val="0"/>
        <w:widowControl w:val="0"/>
        <w:kinsoku/>
        <w:wordWrap/>
        <w:overflowPunct/>
        <w:topLinePunct w:val="0"/>
        <w:autoSpaceDE w:val="0"/>
        <w:autoSpaceDN w:val="0"/>
        <w:bidi w:val="0"/>
        <w:adjustRightInd/>
        <w:snapToGrid/>
        <w:spacing w:before="121" w:line="360" w:lineRule="exact"/>
        <w:ind w:left="0" w:leftChars="0" w:right="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11"/>
        </w:rPr>
        <w:t>博士研究生奖学金按学习成绩、科研情况、综合表现进行评定。以最终加权成绩确定</w:t>
      </w:r>
      <w:r>
        <w:rPr>
          <w:rFonts w:hint="eastAsia" w:ascii="Times New Roman" w:hAnsi="Times New Roman" w:eastAsia="宋体" w:cs="宋体"/>
          <w:color w:val="auto"/>
          <w:spacing w:val="-6"/>
        </w:rPr>
        <w:t>评定等级。</w:t>
      </w:r>
    </w:p>
    <w:p w14:paraId="65210E59">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一、学习成绩 </w:t>
      </w:r>
    </w:p>
    <w:p w14:paraId="3AAC39FA">
      <w:pPr>
        <w:pStyle w:val="3"/>
        <w:keepNext w:val="0"/>
        <w:keepLines w:val="0"/>
        <w:pageBreakBefore w:val="0"/>
        <w:kinsoku/>
        <w:wordWrap/>
        <w:overflowPunct/>
        <w:topLinePunct w:val="0"/>
        <w:autoSpaceDE w:val="0"/>
        <w:autoSpaceDN w:val="0"/>
        <w:bidi w:val="0"/>
        <w:adjustRightInd/>
        <w:snapToGrid/>
        <w:spacing w:before="5" w:line="360" w:lineRule="exact"/>
        <w:ind w:left="0" w:leftChars="0" w:firstLine="0" w:firstLineChars="0"/>
        <w:jc w:val="both"/>
        <w:textAlignment w:val="auto"/>
        <w:rPr>
          <w:rFonts w:hint="eastAsia" w:ascii="Times New Roman" w:hAnsi="Times New Roman" w:eastAsia="宋体" w:cs="宋体"/>
          <w:color w:val="auto"/>
          <w:sz w:val="23"/>
        </w:rPr>
      </w:pPr>
      <w:r>
        <w:rPr>
          <w:rFonts w:hint="eastAsia" w:ascii="Times New Roman" w:hAnsi="Times New Roman" w:eastAsia="宋体" w:cs="宋体"/>
          <w:color w:val="auto"/>
        </w:rPr>
        <w:t>博士研究生奖学金评定时的学位课平均规格化成绩以 10%计入最终成绩。</w:t>
      </w:r>
    </w:p>
    <w:p w14:paraId="4D0CF2CA">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二、科研成绩 </w:t>
      </w:r>
    </w:p>
    <w:p w14:paraId="294E5AFD">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论文发表情况：</w:t>
      </w:r>
    </w:p>
    <w:p w14:paraId="1C08454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在《中国社会科学》上发表一篇文章加 40 分。</w:t>
      </w:r>
    </w:p>
    <w:p w14:paraId="6092E8B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在一级学科最高刊物上发表一篇文章加 20 分。</w:t>
      </w:r>
    </w:p>
    <w:p w14:paraId="06E99E4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bookmarkStart w:id="0" w:name="_GoBack"/>
      <w:bookmarkEnd w:id="0"/>
      <w:r>
        <w:rPr>
          <w:rFonts w:hint="eastAsia" w:ascii="Times New Roman" w:hAnsi="Times New Roman" w:eastAsia="宋体" w:cs="宋体"/>
          <w:color w:val="auto"/>
        </w:rPr>
        <w:t>SSCI（二区及以上）/A&amp;HCL 期刊上发表一篇文章加 10</w:t>
      </w:r>
      <w:r>
        <w:rPr>
          <w:rFonts w:hint="eastAsia" w:ascii="Times New Roman" w:hAnsi="Times New Roman" w:cs="宋体"/>
          <w:color w:val="auto"/>
          <w:lang w:val="en-US" w:eastAsia="zh-CN"/>
        </w:rPr>
        <w:t>-</w:t>
      </w:r>
      <w:r>
        <w:rPr>
          <w:rFonts w:hint="eastAsia" w:ascii="Times New Roman" w:hAnsi="Times New Roman" w:eastAsia="宋体" w:cs="宋体"/>
          <w:color w:val="auto"/>
        </w:rPr>
        <w:t>20 分</w:t>
      </w:r>
      <w:r>
        <w:rPr>
          <w:rFonts w:hint="eastAsia" w:ascii="Times New Roman" w:hAnsi="Times New Roman" w:cs="宋体"/>
          <w:color w:val="auto"/>
          <w:lang w:eastAsia="zh-CN"/>
        </w:rPr>
        <w:t>（</w:t>
      </w:r>
      <w:r>
        <w:rPr>
          <w:rFonts w:hint="eastAsia" w:ascii="Times New Roman" w:hAnsi="Times New Roman" w:cs="宋体"/>
          <w:color w:val="auto"/>
          <w:lang w:val="en-US" w:eastAsia="zh-CN"/>
        </w:rPr>
        <w:t>具体分值由评审委员会根据文章质量界定）</w:t>
      </w:r>
    </w:p>
    <w:p w14:paraId="72F35F3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SCIE等效于</w:t>
      </w:r>
      <w:r>
        <w:rPr>
          <w:rFonts w:hint="eastAsia" w:ascii="Times New Roman" w:hAnsi="Times New Roman" w:cs="宋体"/>
          <w:color w:val="auto"/>
          <w:lang w:val="en-US" w:eastAsia="zh-CN"/>
        </w:rPr>
        <w:t>C</w:t>
      </w:r>
      <w:r>
        <w:rPr>
          <w:rFonts w:hint="eastAsia" w:ascii="Times New Roman" w:hAnsi="Times New Roman" w:eastAsia="宋体" w:cs="宋体"/>
          <w:color w:val="auto"/>
        </w:rPr>
        <w:t>刊，加6分；</w:t>
      </w:r>
    </w:p>
    <w:p w14:paraId="0D7BA2A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18"/>
        </w:rPr>
        <w:t xml:space="preserve">其他 </w:t>
      </w:r>
      <w:r>
        <w:rPr>
          <w:rFonts w:hint="eastAsia" w:ascii="Times New Roman" w:hAnsi="Times New Roman" w:eastAsia="宋体" w:cs="宋体"/>
          <w:color w:val="auto"/>
          <w:spacing w:val="-3"/>
        </w:rPr>
        <w:t xml:space="preserve">CSSCI/CASS </w:t>
      </w:r>
      <w:r>
        <w:rPr>
          <w:rFonts w:hint="eastAsia" w:ascii="Times New Roman" w:hAnsi="Times New Roman" w:eastAsia="宋体" w:cs="宋体"/>
          <w:color w:val="auto"/>
          <w:spacing w:val="-9"/>
        </w:rPr>
        <w:t xml:space="preserve">收录期刊文章加 </w:t>
      </w:r>
      <w:r>
        <w:rPr>
          <w:rFonts w:hint="eastAsia" w:ascii="Times New Roman" w:hAnsi="Times New Roman" w:eastAsia="宋体" w:cs="宋体"/>
          <w:color w:val="auto"/>
        </w:rPr>
        <w:t xml:space="preserve">6 </w:t>
      </w:r>
      <w:r>
        <w:rPr>
          <w:rFonts w:hint="eastAsia" w:ascii="Times New Roman" w:hAnsi="Times New Roman" w:eastAsia="宋体" w:cs="宋体"/>
          <w:color w:val="auto"/>
          <w:spacing w:val="-4"/>
        </w:rPr>
        <w:t>分，</w:t>
      </w:r>
      <w:r>
        <w:rPr>
          <w:rFonts w:hint="eastAsia" w:ascii="Times New Roman" w:hAnsi="Times New Roman" w:eastAsia="宋体" w:cs="宋体"/>
          <w:color w:val="auto"/>
          <w:spacing w:val="-5"/>
        </w:rPr>
        <w:t xml:space="preserve">CSSCI </w:t>
      </w:r>
      <w:r>
        <w:rPr>
          <w:rFonts w:hint="eastAsia" w:ascii="Times New Roman" w:hAnsi="Times New Roman" w:eastAsia="宋体" w:cs="宋体"/>
          <w:color w:val="auto"/>
          <w:spacing w:val="-11"/>
        </w:rPr>
        <w:t xml:space="preserve">集刊，扩展版加 </w:t>
      </w:r>
      <w:r>
        <w:rPr>
          <w:rFonts w:hint="eastAsia" w:ascii="Times New Roman" w:hAnsi="Times New Roman" w:eastAsia="宋体" w:cs="宋体"/>
          <w:color w:val="auto"/>
        </w:rPr>
        <w:t xml:space="preserve">3 </w:t>
      </w:r>
      <w:r>
        <w:rPr>
          <w:rFonts w:hint="eastAsia" w:ascii="Times New Roman" w:hAnsi="Times New Roman" w:eastAsia="宋体" w:cs="宋体"/>
          <w:color w:val="auto"/>
          <w:spacing w:val="-11"/>
        </w:rPr>
        <w:t xml:space="preserve">分，中文核心期刊加 </w:t>
      </w:r>
      <w:r>
        <w:rPr>
          <w:rFonts w:hint="eastAsia" w:ascii="Times New Roman" w:hAnsi="Times New Roman" w:eastAsia="宋体" w:cs="宋体"/>
          <w:color w:val="auto"/>
        </w:rPr>
        <w:t xml:space="preserve">3 </w:t>
      </w:r>
      <w:r>
        <w:rPr>
          <w:rFonts w:hint="eastAsia" w:ascii="Times New Roman" w:hAnsi="Times New Roman" w:eastAsia="宋体" w:cs="宋体"/>
          <w:color w:val="auto"/>
          <w:spacing w:val="-2"/>
        </w:rPr>
        <w:t>分。</w:t>
      </w:r>
      <w:r>
        <w:rPr>
          <w:rFonts w:hint="eastAsia" w:ascii="Times New Roman" w:hAnsi="Times New Roman" w:eastAsia="宋体" w:cs="宋体"/>
          <w:color w:val="auto"/>
        </w:rPr>
        <w:t xml:space="preserve"> </w:t>
      </w:r>
    </w:p>
    <w:p w14:paraId="2F028DE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非核心期刊根据论文质量，刊物等级等情况加 0.5~1 分，累计不超过 2 篇。</w:t>
      </w:r>
    </w:p>
    <w:p w14:paraId="0F87907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right="0" w:rightChars="0"/>
        <w:jc w:val="both"/>
        <w:textAlignment w:val="auto"/>
        <w:rPr>
          <w:rFonts w:hint="eastAsia" w:ascii="Times New Roman" w:hAnsi="Times New Roman" w:eastAsia="楷体" w:cs="楷体"/>
          <w:color w:val="auto"/>
          <w:lang w:val="en-US" w:eastAsia="zh-CN"/>
        </w:rPr>
      </w:pPr>
      <w:r>
        <w:rPr>
          <w:rFonts w:hint="eastAsia" w:ascii="Times New Roman" w:hAnsi="Times New Roman" w:eastAsia="楷体" w:cs="楷体"/>
          <w:b w:val="0"/>
          <w:bCs w:val="0"/>
          <w:color w:val="auto"/>
          <w:lang w:val="en-US" w:eastAsia="zh-CN"/>
        </w:rPr>
        <w:t>注：</w:t>
      </w:r>
      <w:r>
        <w:rPr>
          <w:rFonts w:hint="eastAsia" w:ascii="Times New Roman" w:hAnsi="Times New Roman" w:eastAsia="楷体" w:cs="楷体"/>
          <w:b w:val="0"/>
          <w:bCs w:val="0"/>
          <w:color w:val="auto"/>
          <w:spacing w:val="-5"/>
        </w:rPr>
        <w:t>计为加分因素的论文考虑学生为第一作者，如学生为第二作者，本院老师为第一作者，</w:t>
      </w:r>
      <w:r>
        <w:rPr>
          <w:rFonts w:hint="eastAsia" w:ascii="Times New Roman" w:hAnsi="Times New Roman" w:eastAsia="楷体" w:cs="楷体"/>
          <w:b w:val="0"/>
          <w:bCs w:val="0"/>
          <w:color w:val="auto"/>
          <w:spacing w:val="-7"/>
        </w:rPr>
        <w:t xml:space="preserve">在相应学习阶段正式发表的论文，则得分按原分值的 </w:t>
      </w:r>
      <w:r>
        <w:rPr>
          <w:rFonts w:hint="eastAsia" w:ascii="Times New Roman" w:hAnsi="Times New Roman" w:eastAsia="楷体" w:cs="楷体"/>
          <w:b w:val="0"/>
          <w:bCs w:val="0"/>
          <w:color w:val="auto"/>
        </w:rPr>
        <w:t>50%</w:t>
      </w:r>
      <w:r>
        <w:rPr>
          <w:rFonts w:hint="eastAsia" w:ascii="Times New Roman" w:hAnsi="Times New Roman" w:eastAsia="楷体" w:cs="楷体"/>
          <w:b w:val="0"/>
          <w:bCs w:val="0"/>
          <w:color w:val="auto"/>
          <w:lang w:val="en-US" w:eastAsia="zh-CN"/>
        </w:rPr>
        <w:t xml:space="preserve"> </w:t>
      </w:r>
      <w:r>
        <w:rPr>
          <w:rFonts w:hint="eastAsia" w:ascii="Times New Roman" w:hAnsi="Times New Roman" w:eastAsia="楷体" w:cs="楷体"/>
          <w:b w:val="0"/>
          <w:bCs w:val="0"/>
          <w:color w:val="auto"/>
          <w:spacing w:val="-3"/>
        </w:rPr>
        <w:t>计算</w:t>
      </w:r>
      <w:r>
        <w:rPr>
          <w:rFonts w:hint="eastAsia" w:ascii="Times New Roman" w:hAnsi="Times New Roman" w:eastAsia="楷体" w:cs="楷体"/>
          <w:b w:val="0"/>
          <w:bCs w:val="0"/>
          <w:color w:val="auto"/>
          <w:spacing w:val="-3"/>
          <w:lang w:eastAsia="zh-CN"/>
        </w:rPr>
        <w:t>；“</w:t>
      </w:r>
      <w:r>
        <w:rPr>
          <w:rFonts w:hint="eastAsia" w:ascii="Times New Roman" w:hAnsi="Times New Roman" w:eastAsia="楷体" w:cs="楷体"/>
          <w:b w:val="0"/>
          <w:bCs w:val="0"/>
          <w:color w:val="auto"/>
          <w:spacing w:val="-3"/>
          <w:lang w:val="en-US" w:eastAsia="zh-CN"/>
        </w:rPr>
        <w:t>共同一作”同样按</w:t>
      </w:r>
      <w:r>
        <w:rPr>
          <w:rFonts w:hint="eastAsia" w:ascii="Times New Roman" w:hAnsi="Times New Roman" w:eastAsia="楷体" w:cs="楷体"/>
          <w:b w:val="0"/>
          <w:bCs w:val="0"/>
          <w:color w:val="auto"/>
          <w:spacing w:val="-7"/>
        </w:rPr>
        <w:t xml:space="preserve">原分值的 </w:t>
      </w:r>
      <w:r>
        <w:rPr>
          <w:rFonts w:hint="eastAsia" w:ascii="Times New Roman" w:hAnsi="Times New Roman" w:eastAsia="楷体" w:cs="楷体"/>
          <w:b w:val="0"/>
          <w:bCs w:val="0"/>
          <w:color w:val="auto"/>
        </w:rPr>
        <w:t>50%</w:t>
      </w:r>
      <w:r>
        <w:rPr>
          <w:rFonts w:hint="eastAsia" w:ascii="Times New Roman" w:hAnsi="Times New Roman" w:eastAsia="楷体" w:cs="楷体"/>
          <w:b w:val="0"/>
          <w:bCs w:val="0"/>
          <w:color w:val="auto"/>
          <w:lang w:val="en-US" w:eastAsia="zh-CN"/>
        </w:rPr>
        <w:t xml:space="preserve"> </w:t>
      </w:r>
      <w:r>
        <w:rPr>
          <w:rFonts w:hint="eastAsia" w:ascii="Times New Roman" w:hAnsi="Times New Roman" w:eastAsia="楷体" w:cs="楷体"/>
          <w:b w:val="0"/>
          <w:bCs w:val="0"/>
          <w:color w:val="auto"/>
          <w:spacing w:val="-3"/>
        </w:rPr>
        <w:t>计算</w:t>
      </w:r>
      <w:r>
        <w:rPr>
          <w:rFonts w:hint="eastAsia" w:ascii="Times New Roman" w:hAnsi="Times New Roman" w:eastAsia="楷体" w:cs="楷体"/>
          <w:b w:val="0"/>
          <w:bCs w:val="0"/>
          <w:color w:val="auto"/>
          <w:spacing w:val="-3"/>
          <w:lang w:eastAsia="zh-CN"/>
        </w:rPr>
        <w:t>。</w:t>
      </w:r>
    </w:p>
    <w:p w14:paraId="10289B02">
      <w:pPr>
        <w:pStyle w:val="3"/>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楷体" w:cs="楷体"/>
          <w:color w:val="auto"/>
          <w:lang w:val="en-US" w:eastAsia="zh-CN"/>
        </w:rPr>
      </w:pPr>
    </w:p>
    <w:p w14:paraId="17154674">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 xml:space="preserve">学术报告情况： </w:t>
      </w:r>
    </w:p>
    <w:p w14:paraId="337DA4EA">
      <w:pPr>
        <w:pStyle w:val="3"/>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exact"/>
        <w:ind w:left="645" w:leftChars="0" w:right="0" w:hanging="425"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spacing w:val="-7"/>
        </w:rPr>
        <w:t>境内参加</w:t>
      </w:r>
      <w:r>
        <w:rPr>
          <w:rFonts w:hint="eastAsia" w:ascii="Times New Roman" w:hAnsi="Times New Roman" w:eastAsia="宋体" w:cs="宋体"/>
          <w:color w:val="auto"/>
          <w:spacing w:val="-4"/>
          <w:sz w:val="21"/>
          <w:szCs w:val="22"/>
          <w:lang w:val="zh-CN" w:eastAsia="zh-CN" w:bidi="zh-CN"/>
        </w:rPr>
        <w:t>学术</w:t>
      </w:r>
      <w:r>
        <w:rPr>
          <w:rFonts w:hint="eastAsia" w:ascii="Times New Roman" w:hAnsi="Times New Roman" w:cs="宋体"/>
          <w:color w:val="auto"/>
          <w:spacing w:val="-4"/>
          <w:sz w:val="21"/>
          <w:szCs w:val="22"/>
          <w:lang w:val="en-US" w:eastAsia="zh-CN" w:bidi="zh-CN"/>
        </w:rPr>
        <w:t>会议</w:t>
      </w:r>
    </w:p>
    <w:p w14:paraId="646D8BC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cs="宋体"/>
          <w:color w:val="auto"/>
          <w:spacing w:val="-4"/>
          <w:sz w:val="21"/>
          <w:szCs w:val="22"/>
          <w:lang w:val="en-US" w:eastAsia="zh-CN" w:bidi="zh-CN"/>
        </w:rPr>
        <w:t>境内参加</w:t>
      </w:r>
      <w:r>
        <w:rPr>
          <w:rFonts w:hint="eastAsia" w:ascii="Times New Roman" w:hAnsi="Times New Roman" w:eastAsia="宋体" w:cs="宋体"/>
          <w:color w:val="auto"/>
          <w:spacing w:val="-7"/>
        </w:rPr>
        <w:t xml:space="preserve">国际会议，且提交学术论文，进行学术报告为会议收录加 </w:t>
      </w:r>
      <w:r>
        <w:rPr>
          <w:rFonts w:hint="eastAsia" w:ascii="Times New Roman" w:hAnsi="Times New Roman" w:eastAsia="宋体" w:cs="宋体"/>
          <w:color w:val="auto"/>
        </w:rPr>
        <w:t>0.5</w:t>
      </w:r>
      <w:r>
        <w:rPr>
          <w:rFonts w:hint="eastAsia" w:ascii="Times New Roman" w:hAnsi="Times New Roman" w:eastAsia="宋体" w:cs="宋体"/>
          <w:color w:val="auto"/>
          <w:spacing w:val="6"/>
        </w:rPr>
        <w:t xml:space="preserve"> </w:t>
      </w:r>
      <w:r>
        <w:rPr>
          <w:rFonts w:hint="eastAsia" w:ascii="Times New Roman" w:hAnsi="Times New Roman" w:eastAsia="宋体" w:cs="宋体"/>
          <w:color w:val="auto"/>
          <w:spacing w:val="-4"/>
        </w:rPr>
        <w:t xml:space="preserve">分； </w:t>
      </w:r>
    </w:p>
    <w:p w14:paraId="35049B6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leftChars="100" w:right="0" w:rightChars="0"/>
        <w:jc w:val="both"/>
        <w:textAlignment w:val="auto"/>
        <w:rPr>
          <w:rFonts w:hint="eastAsia" w:ascii="Times New Roman" w:hAnsi="Times New Roman" w:eastAsia="宋体" w:cs="宋体"/>
          <w:color w:val="auto"/>
        </w:rPr>
      </w:pPr>
      <w:r>
        <w:rPr>
          <w:rFonts w:hint="eastAsia" w:ascii="Times New Roman" w:hAnsi="Times New Roman" w:cs="宋体"/>
          <w:color w:val="auto"/>
          <w:spacing w:val="-4"/>
          <w:sz w:val="21"/>
          <w:szCs w:val="22"/>
          <w:lang w:val="en-US" w:eastAsia="zh-CN" w:bidi="zh-CN"/>
        </w:rPr>
        <w:t>境内</w:t>
      </w:r>
      <w:r>
        <w:rPr>
          <w:rFonts w:hint="eastAsia" w:ascii="Times New Roman" w:hAnsi="Times New Roman" w:eastAsia="宋体" w:cs="宋体"/>
          <w:color w:val="auto"/>
          <w:spacing w:val="-8"/>
        </w:rPr>
        <w:t xml:space="preserve">参加国内会议，且提交学术论文为会议收录加 </w:t>
      </w:r>
      <w:r>
        <w:rPr>
          <w:rFonts w:hint="eastAsia" w:ascii="Times New Roman" w:hAnsi="Times New Roman" w:eastAsia="宋体" w:cs="宋体"/>
          <w:color w:val="auto"/>
        </w:rPr>
        <w:t>0.25</w:t>
      </w:r>
      <w:r>
        <w:rPr>
          <w:rFonts w:hint="eastAsia" w:ascii="Times New Roman" w:hAnsi="Times New Roman" w:eastAsia="宋体" w:cs="宋体"/>
          <w:color w:val="auto"/>
          <w:spacing w:val="-5"/>
        </w:rPr>
        <w:t xml:space="preserve"> </w:t>
      </w:r>
      <w:r>
        <w:rPr>
          <w:rFonts w:hint="eastAsia" w:ascii="Times New Roman" w:hAnsi="Times New Roman" w:eastAsia="宋体" w:cs="宋体"/>
          <w:color w:val="auto"/>
          <w:spacing w:val="-2"/>
        </w:rPr>
        <w:t>分；</w:t>
      </w:r>
      <w:r>
        <w:rPr>
          <w:rFonts w:hint="eastAsia" w:ascii="Times New Roman" w:hAnsi="Times New Roman" w:eastAsia="宋体" w:cs="宋体"/>
          <w:color w:val="auto"/>
        </w:rPr>
        <w:t xml:space="preserve"> </w:t>
      </w:r>
    </w:p>
    <w:p w14:paraId="0B235B24">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220" w:leftChars="100" w:right="0" w:firstLine="0" w:firstLineChars="0"/>
        <w:jc w:val="both"/>
        <w:textAlignment w:val="auto"/>
        <w:rPr>
          <w:rFonts w:hint="eastAsia" w:ascii="Times New Roman" w:hAnsi="Times New Roman" w:eastAsia="宋体" w:cs="宋体"/>
          <w:color w:val="auto"/>
          <w:lang w:eastAsia="zh-CN"/>
        </w:rPr>
      </w:pPr>
      <w:r>
        <w:rPr>
          <w:rFonts w:hint="eastAsia" w:ascii="Times New Roman" w:hAnsi="Times New Roman" w:cs="宋体"/>
          <w:color w:val="auto"/>
          <w:spacing w:val="-4"/>
          <w:sz w:val="21"/>
          <w:szCs w:val="22"/>
          <w:lang w:val="en-US" w:eastAsia="zh-CN" w:bidi="zh-CN"/>
        </w:rPr>
        <w:t>境内</w:t>
      </w:r>
      <w:r>
        <w:rPr>
          <w:rFonts w:hint="eastAsia" w:ascii="Times New Roman" w:hAnsi="Times New Roman" w:eastAsia="宋体" w:cs="宋体"/>
          <w:color w:val="auto"/>
        </w:rPr>
        <w:t>参加省级研究生论坛和省级学会论文获得一等奖及以上加 0.5 分，获得三等奖及以上加0.25 分。</w:t>
      </w:r>
      <w:r>
        <w:rPr>
          <w:rFonts w:hint="eastAsia" w:ascii="Times New Roman" w:hAnsi="Times New Roman" w:cs="宋体"/>
          <w:color w:val="auto"/>
          <w:lang w:eastAsia="zh-CN"/>
        </w:rPr>
        <w:t>；</w:t>
      </w:r>
    </w:p>
    <w:p w14:paraId="5EA9B072">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220" w:leftChars="100" w:right="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硕士研究生参加校庆报告会且提交论文被评为校级优秀加 0.25 分；</w:t>
      </w:r>
    </w:p>
    <w:p w14:paraId="2C6051ED">
      <w:pPr>
        <w:pStyle w:val="3"/>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exact"/>
        <w:ind w:left="645" w:leftChars="0" w:right="0" w:hanging="425"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境外参加国际会议，且提交学术论文，进行学术报告加 0.5 分。</w:t>
      </w:r>
    </w:p>
    <w:p w14:paraId="0FCD0F04">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sz w:val="26"/>
        </w:rPr>
      </w:pPr>
      <w:r>
        <w:rPr>
          <w:rFonts w:hint="eastAsia" w:ascii="Times New Roman" w:hAnsi="Times New Roman" w:eastAsia="楷体" w:cs="楷体"/>
          <w:color w:val="auto"/>
          <w:lang w:val="en-US" w:eastAsia="zh-CN"/>
        </w:rPr>
        <w:t>注：</w:t>
      </w:r>
      <w:r>
        <w:rPr>
          <w:rFonts w:hint="eastAsia" w:ascii="Times New Roman" w:hAnsi="Times New Roman" w:eastAsia="楷体" w:cs="楷体"/>
          <w:color w:val="auto"/>
        </w:rPr>
        <w:t>同一篇论文不重复计分，取最高分值。</w:t>
      </w:r>
    </w:p>
    <w:p w14:paraId="00AB0973">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实践竞赛：</w:t>
      </w:r>
    </w:p>
    <w:p w14:paraId="7CE73B9C">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eastAsia="宋体" w:cs="宋体"/>
          <w:color w:val="auto"/>
          <w:spacing w:val="-7"/>
          <w:sz w:val="21"/>
          <w:szCs w:val="21"/>
        </w:rPr>
      </w:pPr>
      <w:r>
        <w:rPr>
          <w:rFonts w:hint="eastAsia" w:ascii="Times New Roman" w:hAnsi="Times New Roman" w:eastAsia="宋体" w:cs="宋体"/>
          <w:color w:val="auto"/>
          <w:spacing w:val="-7"/>
          <w:sz w:val="21"/>
        </w:rPr>
        <w:t>参加纳入</w:t>
      </w:r>
      <w:r>
        <w:rPr>
          <w:rFonts w:hint="eastAsia" w:ascii="Times New Roman" w:hAnsi="Times New Roman" w:eastAsia="宋体" w:cs="宋体"/>
          <w:color w:val="auto"/>
          <w:spacing w:val="-7"/>
          <w:sz w:val="21"/>
          <w:szCs w:val="21"/>
        </w:rPr>
        <w:t>中国研究生创新实践系列大赛范围内的国家级比赛（公共管理案例大赛、数模竞赛），或其他国家级重要比赛如：“互联网+”大学生创新创业大赛，“挑战杯”中国大学生课外学术科技作品竞赛、“创青春”全国大学生创业计划竞赛等，获得国家级一等奖加</w:t>
      </w:r>
      <w:r>
        <w:rPr>
          <w:rFonts w:hint="eastAsia" w:ascii="Times New Roman" w:hAnsi="Times New Roman" w:cs="宋体"/>
          <w:color w:val="auto"/>
          <w:spacing w:val="-7"/>
          <w:sz w:val="21"/>
          <w:szCs w:val="21"/>
          <w:lang w:val="en-US" w:eastAsia="zh-CN"/>
        </w:rPr>
        <w:t xml:space="preserve"> </w:t>
      </w:r>
      <w:r>
        <w:rPr>
          <w:rFonts w:hint="eastAsia" w:ascii="Times New Roman" w:hAnsi="Times New Roman" w:eastAsia="宋体" w:cs="宋体"/>
          <w:color w:val="auto"/>
          <w:spacing w:val="-7"/>
          <w:sz w:val="21"/>
          <w:szCs w:val="21"/>
        </w:rPr>
        <w:t xml:space="preserve">12 分，二等奖 6 分，三等奖 4 分；省级奖项一等奖加 6 分，二等奖 3 分，三等奖 2 分。 </w:t>
      </w:r>
    </w:p>
    <w:p w14:paraId="23ABE711">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w:t>
      </w:r>
      <w:r>
        <w:rPr>
          <w:rFonts w:hint="eastAsia" w:ascii="Times New Roman" w:hAnsi="Times New Roman" w:eastAsia="宋体" w:cs="宋体"/>
          <w:color w:val="auto"/>
          <w:spacing w:val="-7"/>
          <w:sz w:val="21"/>
          <w:szCs w:val="21"/>
        </w:rPr>
        <w:t>省级学会比赛按照互联网+等实践类竞赛分数减半，特等按一等</w:t>
      </w:r>
      <w:r>
        <w:rPr>
          <w:rFonts w:hint="eastAsia" w:ascii="Times New Roman" w:hAnsi="Times New Roman" w:cs="宋体"/>
          <w:color w:val="auto"/>
          <w:spacing w:val="-7"/>
          <w:sz w:val="21"/>
          <w:szCs w:val="21"/>
          <w:lang w:val="en-US" w:eastAsia="zh-CN"/>
        </w:rPr>
        <w:t>计算；</w:t>
      </w:r>
    </w:p>
    <w:p w14:paraId="60834D06">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参加江苏高校心理情景剧大赛（定向组队，江苏省心理学会主办），省级一等奖加 1 分，省级二等奖 0.5 分；</w:t>
      </w:r>
    </w:p>
    <w:p w14:paraId="2A555DF1">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cs="宋体"/>
          <w:color w:val="auto"/>
          <w:spacing w:val="-7"/>
          <w:sz w:val="21"/>
          <w:szCs w:val="21"/>
          <w:lang w:val="en-US" w:eastAsia="zh-CN"/>
        </w:rPr>
      </w:pPr>
      <w:r>
        <w:rPr>
          <w:rFonts w:hint="eastAsia" w:ascii="Times New Roman" w:hAnsi="Times New Roman" w:cs="宋体"/>
          <w:color w:val="auto"/>
          <w:spacing w:val="-7"/>
          <w:sz w:val="21"/>
          <w:szCs w:val="21"/>
          <w:lang w:val="en-US" w:eastAsia="zh-CN"/>
        </w:rPr>
        <w:t>参加江苏省团干部思政技能大比武，加分按照省赛减半计算，即</w:t>
      </w:r>
      <w:r>
        <w:rPr>
          <w:rFonts w:hint="eastAsia" w:ascii="Times New Roman" w:hAnsi="Times New Roman" w:eastAsia="宋体" w:cs="宋体"/>
          <w:color w:val="auto"/>
          <w:spacing w:val="-7"/>
          <w:sz w:val="21"/>
          <w:szCs w:val="21"/>
        </w:rPr>
        <w:t>省级一等奖加</w:t>
      </w:r>
      <w:r>
        <w:rPr>
          <w:rFonts w:hint="eastAsia" w:ascii="Times New Roman" w:hAnsi="Times New Roman" w:cs="宋体"/>
          <w:color w:val="auto"/>
          <w:spacing w:val="-7"/>
          <w:sz w:val="21"/>
          <w:szCs w:val="21"/>
          <w:lang w:val="en-US" w:eastAsia="zh-CN"/>
        </w:rPr>
        <w:t xml:space="preserve"> 3 </w:t>
      </w:r>
      <w:r>
        <w:rPr>
          <w:rFonts w:hint="eastAsia" w:ascii="Times New Roman" w:hAnsi="Times New Roman" w:eastAsia="宋体" w:cs="宋体"/>
          <w:color w:val="auto"/>
          <w:spacing w:val="-7"/>
          <w:sz w:val="21"/>
          <w:szCs w:val="21"/>
        </w:rPr>
        <w:t xml:space="preserve">分，二等奖 </w:t>
      </w:r>
      <w:r>
        <w:rPr>
          <w:rFonts w:hint="eastAsia" w:ascii="Times New Roman" w:hAnsi="Times New Roman" w:cs="宋体"/>
          <w:color w:val="auto"/>
          <w:spacing w:val="-7"/>
          <w:sz w:val="21"/>
          <w:szCs w:val="21"/>
          <w:lang w:val="en-US" w:eastAsia="zh-CN"/>
        </w:rPr>
        <w:t xml:space="preserve">1.5 </w:t>
      </w:r>
      <w:r>
        <w:rPr>
          <w:rFonts w:hint="eastAsia" w:ascii="Times New Roman" w:hAnsi="Times New Roman" w:eastAsia="宋体" w:cs="宋体"/>
          <w:color w:val="auto"/>
          <w:spacing w:val="-7"/>
          <w:sz w:val="21"/>
          <w:szCs w:val="21"/>
        </w:rPr>
        <w:t>分，三等奖</w:t>
      </w:r>
      <w:r>
        <w:rPr>
          <w:rFonts w:hint="eastAsia" w:ascii="Times New Roman" w:hAnsi="Times New Roman" w:cs="宋体"/>
          <w:color w:val="auto"/>
          <w:spacing w:val="-7"/>
          <w:sz w:val="21"/>
          <w:szCs w:val="21"/>
          <w:lang w:val="en-US" w:eastAsia="zh-CN"/>
        </w:rPr>
        <w:t xml:space="preserve"> 1 </w:t>
      </w:r>
      <w:r>
        <w:rPr>
          <w:rFonts w:hint="eastAsia" w:ascii="Times New Roman" w:hAnsi="Times New Roman" w:eastAsia="宋体" w:cs="宋体"/>
          <w:color w:val="auto"/>
          <w:spacing w:val="-7"/>
          <w:sz w:val="21"/>
          <w:szCs w:val="21"/>
        </w:rPr>
        <w:t>分</w:t>
      </w:r>
      <w:r>
        <w:rPr>
          <w:rFonts w:hint="eastAsia" w:ascii="Times New Roman" w:hAnsi="Times New Roman" w:cs="宋体"/>
          <w:color w:val="auto"/>
          <w:spacing w:val="-7"/>
          <w:sz w:val="21"/>
          <w:szCs w:val="21"/>
          <w:lang w:val="en-US" w:eastAsia="zh-CN"/>
        </w:rPr>
        <w:t>；</w:t>
      </w:r>
    </w:p>
    <w:p w14:paraId="5A30F821">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eastAsia="宋体" w:cs="宋体"/>
          <w:b w:val="0"/>
          <w:bCs w:val="0"/>
          <w:color w:val="auto"/>
        </w:rPr>
      </w:pPr>
      <w:r>
        <w:rPr>
          <w:rFonts w:hint="eastAsia" w:ascii="Times New Roman" w:hAnsi="Times New Roman" w:cs="宋体"/>
          <w:color w:val="auto"/>
          <w:spacing w:val="-7"/>
          <w:sz w:val="21"/>
          <w:szCs w:val="21"/>
          <w:lang w:val="en-US" w:eastAsia="zh-CN"/>
        </w:rPr>
        <w:t>参加教委会下设的子委员会举办的活动按照参加学术会议计算，加 0.25 分。</w:t>
      </w:r>
    </w:p>
    <w:p w14:paraId="5A43958C">
      <w:pPr>
        <w:pStyle w:val="7"/>
        <w:keepNext w:val="0"/>
        <w:keepLines w:val="0"/>
        <w:pageBreakBefore w:val="0"/>
        <w:widowControl w:val="0"/>
        <w:numPr>
          <w:ilvl w:val="0"/>
          <w:numId w:val="12"/>
        </w:numPr>
        <w:tabs>
          <w:tab w:val="left" w:pos="635"/>
        </w:tabs>
        <w:kinsoku/>
        <w:wordWrap/>
        <w:overflowPunct/>
        <w:topLinePunct w:val="0"/>
        <w:autoSpaceDE w:val="0"/>
        <w:autoSpaceDN w:val="0"/>
        <w:bidi w:val="0"/>
        <w:adjustRightInd/>
        <w:snapToGrid/>
        <w:spacing w:before="0" w:after="0" w:line="360" w:lineRule="exact"/>
        <w:ind w:left="0" w:leftChars="0" w:right="0" w:rightChars="0" w:firstLine="392" w:firstLineChars="200"/>
        <w:jc w:val="both"/>
        <w:textAlignment w:val="auto"/>
        <w:rPr>
          <w:rFonts w:hint="eastAsia" w:ascii="Times New Roman" w:hAnsi="Times New Roman" w:eastAsia="宋体" w:cs="宋体"/>
          <w:b w:val="0"/>
          <w:bCs w:val="0"/>
          <w:color w:val="auto"/>
        </w:rPr>
      </w:pPr>
      <w:r>
        <w:rPr>
          <w:rFonts w:hint="eastAsia" w:ascii="Times New Roman" w:hAnsi="Times New Roman" w:eastAsia="宋体" w:cs="宋体"/>
          <w:b w:val="0"/>
          <w:bCs w:val="0"/>
          <w:color w:val="auto"/>
          <w:spacing w:val="-7"/>
          <w:sz w:val="21"/>
          <w:szCs w:val="21"/>
        </w:rPr>
        <w:t>其他省级以上竞赛获奖由个人提交证明材料，由学科和评审会讨论确定是否加分及具体</w:t>
      </w:r>
      <w:r>
        <w:rPr>
          <w:rFonts w:hint="eastAsia" w:ascii="Times New Roman" w:hAnsi="Times New Roman" w:eastAsia="宋体" w:cs="宋体"/>
          <w:b w:val="0"/>
          <w:bCs w:val="0"/>
          <w:color w:val="auto"/>
          <w:sz w:val="21"/>
          <w:szCs w:val="21"/>
        </w:rPr>
        <w:t>分值。</w:t>
      </w:r>
    </w:p>
    <w:p w14:paraId="403D0073">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exact"/>
        <w:ind w:left="425" w:leftChars="0" w:right="0" w:rightChars="0" w:hanging="425" w:firstLineChars="0"/>
        <w:jc w:val="both"/>
        <w:textAlignment w:val="auto"/>
        <w:rPr>
          <w:rFonts w:hint="eastAsia" w:ascii="Times New Roman" w:hAnsi="Times New Roman" w:eastAsia="宋体" w:cs="宋体"/>
          <w:color w:val="auto"/>
          <w:spacing w:val="-4"/>
          <w:sz w:val="21"/>
          <w:szCs w:val="22"/>
          <w:lang w:val="zh-CN" w:eastAsia="zh-CN" w:bidi="zh-CN"/>
        </w:rPr>
      </w:pPr>
      <w:r>
        <w:rPr>
          <w:rFonts w:hint="eastAsia" w:ascii="Times New Roman" w:hAnsi="Times New Roman" w:eastAsia="宋体" w:cs="宋体"/>
          <w:color w:val="auto"/>
          <w:spacing w:val="-4"/>
          <w:sz w:val="21"/>
          <w:szCs w:val="22"/>
          <w:lang w:val="zh-CN" w:eastAsia="zh-CN" w:bidi="zh-CN"/>
        </w:rPr>
        <w:t xml:space="preserve">科研成果情况： </w:t>
      </w:r>
    </w:p>
    <w:p w14:paraId="3ACAE6BA">
      <w:pPr>
        <w:pStyle w:val="7"/>
        <w:keepNext w:val="0"/>
        <w:keepLines w:val="0"/>
        <w:pageBreakBefore w:val="0"/>
        <w:widowControl w:val="0"/>
        <w:numPr>
          <w:ilvl w:val="0"/>
          <w:numId w:val="0"/>
        </w:numPr>
        <w:tabs>
          <w:tab w:val="left" w:pos="859"/>
        </w:tabs>
        <w:kinsoku/>
        <w:wordWrap/>
        <w:overflowPunct/>
        <w:topLinePunct w:val="0"/>
        <w:autoSpaceDE w:val="0"/>
        <w:autoSpaceDN w:val="0"/>
        <w:bidi w:val="0"/>
        <w:adjustRightInd/>
        <w:snapToGrid/>
        <w:spacing w:before="0" w:after="0" w:line="360" w:lineRule="exact"/>
        <w:ind w:right="0" w:rightChars="0" w:firstLine="376" w:firstLineChars="200"/>
        <w:jc w:val="both"/>
        <w:textAlignment w:val="auto"/>
        <w:rPr>
          <w:rFonts w:hint="eastAsia" w:ascii="Times New Roman" w:hAnsi="Times New Roman" w:eastAsia="宋体" w:cs="宋体"/>
          <w:color w:val="auto"/>
          <w:sz w:val="21"/>
          <w:lang w:eastAsia="zh-CN"/>
        </w:rPr>
      </w:pPr>
      <w:r>
        <w:rPr>
          <w:rFonts w:hint="eastAsia" w:ascii="Times New Roman" w:hAnsi="Times New Roman" w:eastAsia="宋体" w:cs="宋体"/>
          <w:color w:val="auto"/>
          <w:spacing w:val="-11"/>
          <w:sz w:val="21"/>
        </w:rPr>
        <w:t xml:space="preserve">主持省级课题加 </w:t>
      </w:r>
      <w:r>
        <w:rPr>
          <w:rFonts w:hint="eastAsia" w:ascii="Times New Roman" w:hAnsi="Times New Roman" w:eastAsia="宋体" w:cs="宋体"/>
          <w:color w:val="auto"/>
          <w:sz w:val="21"/>
        </w:rPr>
        <w:t>1</w:t>
      </w:r>
      <w:r>
        <w:rPr>
          <w:rFonts w:hint="eastAsia" w:ascii="Times New Roman" w:hAnsi="Times New Roman" w:eastAsia="宋体" w:cs="宋体"/>
          <w:color w:val="auto"/>
          <w:spacing w:val="-3"/>
          <w:sz w:val="21"/>
        </w:rPr>
        <w:t xml:space="preserve"> </w:t>
      </w:r>
      <w:r>
        <w:rPr>
          <w:rFonts w:hint="eastAsia" w:ascii="Times New Roman" w:hAnsi="Times New Roman" w:eastAsia="宋体" w:cs="宋体"/>
          <w:color w:val="auto"/>
          <w:spacing w:val="-5"/>
          <w:sz w:val="21"/>
        </w:rPr>
        <w:t>分</w:t>
      </w:r>
      <w:r>
        <w:rPr>
          <w:rFonts w:hint="eastAsia" w:ascii="Times New Roman" w:hAnsi="Times New Roman" w:cs="宋体"/>
          <w:color w:val="auto"/>
          <w:spacing w:val="-5"/>
          <w:sz w:val="21"/>
          <w:lang w:eastAsia="zh-CN"/>
        </w:rPr>
        <w:t>；</w:t>
      </w:r>
    </w:p>
    <w:p w14:paraId="62EB5926">
      <w:pPr>
        <w:pStyle w:val="7"/>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0" w:after="0" w:line="360" w:lineRule="exact"/>
        <w:ind w:right="0" w:rightChars="0" w:firstLine="400" w:firstLineChars="200"/>
        <w:jc w:val="both"/>
        <w:textAlignment w:val="auto"/>
        <w:rPr>
          <w:rFonts w:hint="eastAsia" w:ascii="Times New Roman" w:hAnsi="Times New Roman" w:eastAsia="宋体" w:cs="宋体"/>
          <w:color w:val="auto"/>
          <w:sz w:val="21"/>
        </w:rPr>
      </w:pPr>
      <w:r>
        <w:rPr>
          <w:rFonts w:hint="eastAsia" w:ascii="Times New Roman" w:hAnsi="Times New Roman" w:eastAsia="宋体" w:cs="宋体"/>
          <w:color w:val="auto"/>
          <w:spacing w:val="-5"/>
          <w:sz w:val="21"/>
        </w:rPr>
        <w:t>获得各类研究课题或参加导师研究项目等取得突出成绩者，可在申请奖项时提交相关材料，交由评审委员会讨论并确定是否予以加分及具体的加分数。</w:t>
      </w:r>
    </w:p>
    <w:p w14:paraId="00B6A168">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sz w:val="20"/>
        </w:rPr>
      </w:pPr>
      <w:r>
        <w:rPr>
          <w:rFonts w:hint="eastAsia" w:ascii="Times New Roman" w:hAnsi="Times New Roman" w:eastAsia="楷体" w:cs="楷体"/>
          <w:b w:val="0"/>
          <w:bCs w:val="0"/>
          <w:color w:val="auto"/>
          <w:spacing w:val="-9"/>
        </w:rPr>
        <w:t>注：申请提交的成果</w:t>
      </w:r>
      <w:r>
        <w:rPr>
          <w:rFonts w:hint="eastAsia" w:ascii="Times New Roman" w:hAnsi="Times New Roman" w:eastAsia="楷体" w:cs="楷体"/>
          <w:b w:val="0"/>
          <w:bCs w:val="0"/>
          <w:color w:val="auto"/>
          <w:spacing w:val="-3"/>
        </w:rPr>
        <w:t>（</w:t>
      </w:r>
      <w:r>
        <w:rPr>
          <w:rFonts w:hint="eastAsia" w:ascii="Times New Roman" w:hAnsi="Times New Roman" w:eastAsia="楷体" w:cs="楷体"/>
          <w:b w:val="0"/>
          <w:bCs w:val="0"/>
          <w:color w:val="auto"/>
          <w:spacing w:val="-2"/>
        </w:rPr>
        <w:t>所有科研成果以实际发表为准</w:t>
      </w:r>
      <w:r>
        <w:rPr>
          <w:rFonts w:hint="eastAsia" w:ascii="Times New Roman" w:hAnsi="Times New Roman" w:eastAsia="楷体" w:cs="楷体"/>
          <w:b w:val="0"/>
          <w:bCs w:val="0"/>
          <w:color w:val="auto"/>
        </w:rPr>
        <w:t>)</w:t>
      </w:r>
      <w:r>
        <w:rPr>
          <w:rFonts w:hint="eastAsia" w:ascii="Times New Roman" w:hAnsi="Times New Roman" w:eastAsia="楷体" w:cs="楷体"/>
          <w:b w:val="0"/>
          <w:bCs w:val="0"/>
          <w:color w:val="auto"/>
          <w:spacing w:val="-9"/>
        </w:rPr>
        <w:t>截止时间</w:t>
      </w:r>
      <w:r>
        <w:rPr>
          <w:rFonts w:hint="eastAsia" w:ascii="Times New Roman" w:hAnsi="Times New Roman" w:eastAsia="楷体" w:cs="楷体"/>
          <w:b w:val="0"/>
          <w:bCs w:val="0"/>
          <w:color w:val="auto"/>
          <w:spacing w:val="-9"/>
          <w:lang w:val="en-US" w:eastAsia="zh-CN"/>
        </w:rPr>
        <w:t>为2025年9月30日（含当日）</w:t>
      </w:r>
      <w:r>
        <w:rPr>
          <w:rFonts w:hint="eastAsia" w:ascii="Times New Roman" w:hAnsi="Times New Roman" w:eastAsia="楷体" w:cs="楷体"/>
          <w:b w:val="0"/>
          <w:bCs w:val="0"/>
          <w:color w:val="auto"/>
          <w:spacing w:val="-5"/>
        </w:rPr>
        <w:t>，</w:t>
      </w:r>
      <w:r>
        <w:rPr>
          <w:rFonts w:hint="eastAsia" w:ascii="Times New Roman" w:hAnsi="Times New Roman" w:eastAsia="楷体" w:cs="楷体"/>
          <w:b w:val="0"/>
          <w:bCs w:val="0"/>
          <w:color w:val="auto"/>
          <w:spacing w:val="-5"/>
          <w:lang w:val="en-US" w:eastAsia="zh-CN"/>
        </w:rPr>
        <w:t>春博成果截止时间为2025年3月30日（含当日），</w:t>
      </w:r>
      <w:r>
        <w:rPr>
          <w:rFonts w:hint="eastAsia" w:ascii="Times New Roman" w:hAnsi="Times New Roman" w:eastAsia="楷体" w:cs="楷体"/>
          <w:b w:val="0"/>
          <w:bCs w:val="0"/>
          <w:color w:val="auto"/>
          <w:spacing w:val="-5"/>
        </w:rPr>
        <w:t>且在科研成绩评定中只能使用一次。</w:t>
      </w:r>
    </w:p>
    <w:p w14:paraId="5FE18DA6">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exact"/>
        <w:ind w:left="0" w:leftChars="0" w:right="0" w:firstLine="0" w:firstLineChars="0"/>
        <w:jc w:val="both"/>
        <w:textAlignment w:val="auto"/>
        <w:rPr>
          <w:rFonts w:hint="eastAsia" w:ascii="Times New Roman" w:hAnsi="Times New Roman" w:eastAsia="宋体" w:cs="宋体"/>
          <w:b/>
          <w:bCs/>
          <w:color w:val="auto"/>
        </w:rPr>
      </w:pPr>
      <w:r>
        <w:rPr>
          <w:rFonts w:hint="eastAsia" w:ascii="Times New Roman" w:hAnsi="Times New Roman" w:eastAsia="宋体" w:cs="宋体"/>
          <w:b/>
          <w:bCs/>
          <w:color w:val="auto"/>
        </w:rPr>
        <w:t xml:space="preserve">三、综合表现 </w:t>
      </w:r>
    </w:p>
    <w:p w14:paraId="293A4C3B">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积极参与学校院系举办的各项集体活动。根据团支部青年大学习等记录，班级记录，党支部记录等，核对并认定参与情况良好者（参与次数达全部集体活动 80%以上）加 1 分；</w:t>
      </w:r>
    </w:p>
    <w:p w14:paraId="16760C43">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参加学校及学院组织的志愿服务三次以上，或服务时长超过 8 小时，表现良好者加 1.2分；</w:t>
      </w:r>
    </w:p>
    <w:p w14:paraId="11BADF5F">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开展社会实践项目且团队获得校级以上表彰，实践团队负责人加 1.5 分，参与并承担主要实践工作者加 1.2 分（每团队不超过 3 人）；</w:t>
      </w:r>
    </w:p>
    <w:p w14:paraId="3F74BDE3">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担任院主要学生组织（研究生会、心理分中心、党支部工作站）主要负责人且师生考评为优秀者加 1.5</w:t>
      </w:r>
      <w:r>
        <w:rPr>
          <w:rFonts w:hint="eastAsia" w:ascii="Times New Roman" w:hAnsi="Times New Roman" w:cs="宋体"/>
          <w:color w:val="auto"/>
          <w:lang w:val="en-US" w:eastAsia="zh-CN"/>
        </w:rPr>
        <w:t>-</w:t>
      </w:r>
      <w:r>
        <w:rPr>
          <w:rFonts w:hint="eastAsia" w:ascii="Times New Roman" w:hAnsi="Times New Roman" w:eastAsia="宋体" w:cs="宋体"/>
          <w:color w:val="auto"/>
        </w:rPr>
        <w:t>2 分；（所在集体获得校级以上荣誉称号或奖励，另酌情给予 0.5</w:t>
      </w:r>
      <w:r>
        <w:rPr>
          <w:rFonts w:hint="eastAsia" w:ascii="Times New Roman" w:hAnsi="Times New Roman" w:cs="宋体"/>
          <w:color w:val="auto"/>
          <w:lang w:val="en-US" w:eastAsia="zh-CN"/>
        </w:rPr>
        <w:t>-</w:t>
      </w:r>
      <w:r>
        <w:rPr>
          <w:rFonts w:hint="eastAsia" w:ascii="Times New Roman" w:hAnsi="Times New Roman" w:eastAsia="宋体" w:cs="宋体"/>
          <w:color w:val="auto"/>
        </w:rPr>
        <w:t>1 分的加分）；</w:t>
      </w:r>
    </w:p>
    <w:p w14:paraId="62D95C90">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担任班长、党支书</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基本完成事务工作</w:t>
      </w:r>
      <w:r>
        <w:rPr>
          <w:rFonts w:hint="eastAsia" w:ascii="Times New Roman" w:hAnsi="Times New Roman" w:eastAsia="宋体" w:cs="宋体"/>
          <w:color w:val="auto"/>
        </w:rPr>
        <w:t>但未</w:t>
      </w:r>
      <w:r>
        <w:rPr>
          <w:rFonts w:hint="eastAsia" w:ascii="Times New Roman" w:hAnsi="Times New Roman" w:eastAsia="宋体" w:cs="宋体"/>
          <w:color w:val="auto"/>
          <w:lang w:val="en-US" w:eastAsia="zh-CN"/>
        </w:rPr>
        <w:t>积极</w:t>
      </w:r>
      <w:r>
        <w:rPr>
          <w:rFonts w:hint="eastAsia" w:ascii="Times New Roman" w:hAnsi="Times New Roman" w:eastAsia="宋体" w:cs="宋体"/>
          <w:color w:val="auto"/>
        </w:rPr>
        <w:t>申报集体荣誉及活动</w:t>
      </w:r>
      <w:r>
        <w:rPr>
          <w:rFonts w:hint="eastAsia" w:ascii="Times New Roman" w:hAnsi="Times New Roman" w:eastAsia="宋体" w:cs="宋体"/>
          <w:color w:val="auto"/>
          <w:lang w:eastAsia="zh-CN"/>
        </w:rPr>
        <w:t>，</w:t>
      </w:r>
      <w:r>
        <w:rPr>
          <w:rFonts w:hint="eastAsia" w:ascii="Times New Roman" w:hAnsi="Times New Roman" w:eastAsia="宋体" w:cs="宋体"/>
          <w:color w:val="auto"/>
        </w:rPr>
        <w:t>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1.5</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较好完成事务工作且积极</w:t>
      </w:r>
      <w:r>
        <w:rPr>
          <w:rFonts w:hint="eastAsia" w:ascii="Times New Roman" w:hAnsi="Times New Roman" w:eastAsia="宋体" w:cs="宋体"/>
          <w:color w:val="auto"/>
        </w:rPr>
        <w:t>申报相关集体奖项及活动加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2</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p>
    <w:p w14:paraId="2BD43562">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担任团支书</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基本完成事务工作且</w:t>
      </w:r>
      <w:r>
        <w:rPr>
          <w:rFonts w:hint="eastAsia" w:ascii="Times New Roman" w:hAnsi="Times New Roman" w:eastAsia="宋体" w:cs="宋体"/>
          <w:color w:val="auto"/>
        </w:rPr>
        <w:t>申报磐石计划获合格加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1.5</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r>
        <w:rPr>
          <w:rFonts w:hint="eastAsia" w:ascii="Times New Roman" w:hAnsi="Times New Roman" w:eastAsia="宋体" w:cs="宋体"/>
          <w:color w:val="auto"/>
          <w:lang w:val="en-US" w:eastAsia="zh-CN"/>
        </w:rPr>
        <w:t>较好完成事务工作并</w:t>
      </w:r>
      <w:r>
        <w:rPr>
          <w:rFonts w:hint="eastAsia" w:ascii="Times New Roman" w:hAnsi="Times New Roman" w:eastAsia="宋体" w:cs="宋体"/>
          <w:color w:val="auto"/>
        </w:rPr>
        <w:t>申报磐石计划获优秀加</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2</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分。</w:t>
      </w:r>
    </w:p>
    <w:p w14:paraId="0ADAE7F2">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担任班级心理委员，党支部委员且师生考评优秀者加 1.2</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1.5 分</w:t>
      </w:r>
      <w:r>
        <w:rPr>
          <w:rFonts w:hint="eastAsia" w:ascii="Times New Roman" w:hAnsi="Times New Roman" w:cs="宋体"/>
          <w:color w:val="auto"/>
          <w:lang w:eastAsia="zh-CN"/>
        </w:rPr>
        <w:t>，</w:t>
      </w:r>
      <w:r>
        <w:rPr>
          <w:rFonts w:hint="eastAsia" w:ascii="Times New Roman" w:hAnsi="Times New Roman" w:eastAsia="宋体" w:cs="宋体"/>
          <w:color w:val="auto"/>
        </w:rPr>
        <w:t>所在集体获得校级以上荣誉称号或奖励，</w:t>
      </w:r>
      <w:r>
        <w:rPr>
          <w:rFonts w:hint="eastAsia" w:ascii="Times New Roman" w:hAnsi="Times New Roman" w:cs="宋体"/>
          <w:color w:val="auto"/>
          <w:lang w:val="en-US" w:eastAsia="zh-CN"/>
        </w:rPr>
        <w:t>加1.5分。</w:t>
      </w:r>
      <w:r>
        <w:rPr>
          <w:rFonts w:hint="eastAsia" w:ascii="Times New Roman" w:hAnsi="Times New Roman" w:eastAsia="宋体" w:cs="宋体"/>
          <w:color w:val="auto"/>
        </w:rPr>
        <w:t xml:space="preserve"> </w:t>
      </w:r>
    </w:p>
    <w:p w14:paraId="74A98F06">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担任学校其他学生组织主要负责人，且考评优秀者加 1.2</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 xml:space="preserve">1.5 分； </w:t>
      </w:r>
    </w:p>
    <w:p w14:paraId="6AA41F17">
      <w:pPr>
        <w:pStyle w:val="3"/>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在其他社会工作中做出特殊贡献者，经评审委员会商定，酌情给予 0.8</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 xml:space="preserve">2分的加分。 </w:t>
      </w:r>
    </w:p>
    <w:p w14:paraId="1EB0CD9A">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Times New Roman" w:hAnsi="Times New Roman" w:eastAsia="宋体" w:cs="宋体"/>
          <w:color w:val="auto"/>
        </w:rPr>
      </w:pPr>
      <w:r>
        <w:rPr>
          <w:rFonts w:hint="eastAsia" w:ascii="Times New Roman" w:hAnsi="Times New Roman" w:eastAsia="楷体" w:cs="楷体"/>
          <w:color w:val="auto"/>
        </w:rPr>
        <w:t>注：社会工作各项分数不累计加分，取最高分</w:t>
      </w:r>
      <w:r>
        <w:rPr>
          <w:rFonts w:hint="eastAsia" w:ascii="Times New Roman" w:hAnsi="Times New Roman" w:eastAsia="楷体" w:cs="楷体"/>
          <w:color w:val="auto"/>
          <w:lang w:eastAsia="zh-CN"/>
        </w:rPr>
        <w:t>；</w:t>
      </w:r>
    </w:p>
    <w:sectPr>
      <w:pgSz w:w="11910" w:h="1685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DFAE6"/>
    <w:multiLevelType w:val="singleLevel"/>
    <w:tmpl w:val="83ADFAE6"/>
    <w:lvl w:ilvl="0" w:tentative="0">
      <w:start w:val="1"/>
      <w:numFmt w:val="chineseCounting"/>
      <w:suff w:val="nothing"/>
      <w:lvlText w:val="（%1）"/>
      <w:lvlJc w:val="left"/>
      <w:pPr>
        <w:ind w:left="0" w:firstLine="420"/>
      </w:pPr>
      <w:rPr>
        <w:rFonts w:hint="eastAsia"/>
      </w:rPr>
    </w:lvl>
  </w:abstractNum>
  <w:abstractNum w:abstractNumId="1">
    <w:nsid w:val="9E19B3AE"/>
    <w:multiLevelType w:val="singleLevel"/>
    <w:tmpl w:val="9E19B3AE"/>
    <w:lvl w:ilvl="0" w:tentative="0">
      <w:start w:val="1"/>
      <w:numFmt w:val="decimal"/>
      <w:suff w:val="nothing"/>
      <w:lvlText w:val="%1．"/>
      <w:lvlJc w:val="left"/>
      <w:pPr>
        <w:ind w:left="0" w:firstLine="400"/>
      </w:pPr>
      <w:rPr>
        <w:rFonts w:hint="default"/>
      </w:rPr>
    </w:lvl>
  </w:abstractNum>
  <w:abstractNum w:abstractNumId="2">
    <w:nsid w:val="A35DA4BC"/>
    <w:multiLevelType w:val="singleLevel"/>
    <w:tmpl w:val="A35DA4BC"/>
    <w:lvl w:ilvl="0" w:tentative="0">
      <w:start w:val="1"/>
      <w:numFmt w:val="decimal"/>
      <w:lvlText w:val="%1."/>
      <w:lvlJc w:val="left"/>
      <w:pPr>
        <w:tabs>
          <w:tab w:val="left" w:pos="420"/>
        </w:tabs>
        <w:ind w:left="1285" w:hanging="425"/>
      </w:pPr>
      <w:rPr>
        <w:rFonts w:hint="default"/>
      </w:rPr>
    </w:lvl>
  </w:abstractNum>
  <w:abstractNum w:abstractNumId="3">
    <w:nsid w:val="A5C7120E"/>
    <w:multiLevelType w:val="singleLevel"/>
    <w:tmpl w:val="A5C7120E"/>
    <w:lvl w:ilvl="0" w:tentative="0">
      <w:start w:val="1"/>
      <w:numFmt w:val="chineseCounting"/>
      <w:suff w:val="nothing"/>
      <w:lvlText w:val="（%1）"/>
      <w:lvlJc w:val="left"/>
      <w:pPr>
        <w:ind w:left="0" w:firstLine="420"/>
      </w:pPr>
      <w:rPr>
        <w:rFonts w:hint="eastAsia"/>
      </w:rPr>
    </w:lvl>
  </w:abstractNum>
  <w:abstractNum w:abstractNumId="4">
    <w:nsid w:val="A631ACDD"/>
    <w:multiLevelType w:val="singleLevel"/>
    <w:tmpl w:val="A631ACDD"/>
    <w:lvl w:ilvl="0" w:tentative="0">
      <w:start w:val="1"/>
      <w:numFmt w:val="decimal"/>
      <w:suff w:val="nothing"/>
      <w:lvlText w:val="%1．"/>
      <w:lvlJc w:val="left"/>
      <w:pPr>
        <w:ind w:left="48" w:firstLine="400"/>
      </w:pPr>
      <w:rPr>
        <w:rFonts w:hint="default"/>
      </w:rPr>
    </w:lvl>
  </w:abstractNum>
  <w:abstractNum w:abstractNumId="5">
    <w:nsid w:val="C917A350"/>
    <w:multiLevelType w:val="singleLevel"/>
    <w:tmpl w:val="C917A350"/>
    <w:lvl w:ilvl="0" w:tentative="0">
      <w:start w:val="1"/>
      <w:numFmt w:val="decimal"/>
      <w:lvlText w:val="%1."/>
      <w:lvlJc w:val="left"/>
      <w:pPr>
        <w:ind w:left="645" w:hanging="425"/>
      </w:pPr>
      <w:rPr>
        <w:rFonts w:hint="default"/>
      </w:rPr>
    </w:lvl>
  </w:abstractNum>
  <w:abstractNum w:abstractNumId="6">
    <w:nsid w:val="D8B65A6E"/>
    <w:multiLevelType w:val="singleLevel"/>
    <w:tmpl w:val="D8B65A6E"/>
    <w:lvl w:ilvl="0" w:tentative="0">
      <w:start w:val="1"/>
      <w:numFmt w:val="decimal"/>
      <w:lvlText w:val="%1."/>
      <w:lvlJc w:val="left"/>
      <w:pPr>
        <w:tabs>
          <w:tab w:val="left" w:pos="420"/>
        </w:tabs>
        <w:ind w:left="1725" w:hanging="425"/>
      </w:pPr>
      <w:rPr>
        <w:rFonts w:hint="default"/>
      </w:rPr>
    </w:lvl>
  </w:abstractNum>
  <w:abstractNum w:abstractNumId="7">
    <w:nsid w:val="FE7B9AE8"/>
    <w:multiLevelType w:val="singleLevel"/>
    <w:tmpl w:val="FE7B9AE8"/>
    <w:lvl w:ilvl="0" w:tentative="0">
      <w:start w:val="1"/>
      <w:numFmt w:val="chineseCounting"/>
      <w:suff w:val="nothing"/>
      <w:lvlText w:val="（%1）"/>
      <w:lvlJc w:val="left"/>
      <w:pPr>
        <w:ind w:left="425" w:firstLine="420"/>
      </w:pPr>
      <w:rPr>
        <w:rFonts w:hint="eastAsia"/>
      </w:rPr>
    </w:lvl>
  </w:abstractNum>
  <w:abstractNum w:abstractNumId="8">
    <w:nsid w:val="34BE83C4"/>
    <w:multiLevelType w:val="singleLevel"/>
    <w:tmpl w:val="34BE83C4"/>
    <w:lvl w:ilvl="0" w:tentative="0">
      <w:start w:val="1"/>
      <w:numFmt w:val="chineseCounting"/>
      <w:suff w:val="nothing"/>
      <w:lvlText w:val="（%1）"/>
      <w:lvlJc w:val="left"/>
      <w:pPr>
        <w:ind w:left="425" w:firstLine="420"/>
      </w:pPr>
      <w:rPr>
        <w:rFonts w:hint="eastAsia"/>
      </w:rPr>
    </w:lvl>
  </w:abstractNum>
  <w:abstractNum w:abstractNumId="9">
    <w:nsid w:val="48879E07"/>
    <w:multiLevelType w:val="singleLevel"/>
    <w:tmpl w:val="48879E07"/>
    <w:lvl w:ilvl="0" w:tentative="0">
      <w:start w:val="1"/>
      <w:numFmt w:val="chineseCounting"/>
      <w:suff w:val="nothing"/>
      <w:lvlText w:val="（%1）"/>
      <w:lvlJc w:val="left"/>
      <w:pPr>
        <w:ind w:left="0" w:firstLine="420"/>
      </w:pPr>
      <w:rPr>
        <w:rFonts w:hint="eastAsia"/>
      </w:rPr>
    </w:lvl>
  </w:abstractNum>
  <w:abstractNum w:abstractNumId="10">
    <w:nsid w:val="59BEDFF8"/>
    <w:multiLevelType w:val="singleLevel"/>
    <w:tmpl w:val="59BEDFF8"/>
    <w:lvl w:ilvl="0" w:tentative="0">
      <w:start w:val="1"/>
      <w:numFmt w:val="chineseCounting"/>
      <w:suff w:val="nothing"/>
      <w:lvlText w:val="（%1）"/>
      <w:lvlJc w:val="left"/>
      <w:pPr>
        <w:ind w:left="-420" w:firstLine="420"/>
      </w:pPr>
      <w:rPr>
        <w:rFonts w:hint="eastAsia"/>
      </w:rPr>
    </w:lvl>
  </w:abstractNum>
  <w:abstractNum w:abstractNumId="11">
    <w:nsid w:val="681C40FA"/>
    <w:multiLevelType w:val="singleLevel"/>
    <w:tmpl w:val="681C40FA"/>
    <w:lvl w:ilvl="0" w:tentative="0">
      <w:start w:val="1"/>
      <w:numFmt w:val="chineseCounting"/>
      <w:suff w:val="nothing"/>
      <w:lvlText w:val="（%1）"/>
      <w:lvlJc w:val="left"/>
      <w:pPr>
        <w:ind w:left="-200" w:firstLine="420"/>
      </w:pPr>
      <w:rPr>
        <w:rFonts w:hint="eastAsia"/>
      </w:rPr>
    </w:lvl>
  </w:abstractNum>
  <w:abstractNum w:abstractNumId="12">
    <w:nsid w:val="7A4FE481"/>
    <w:multiLevelType w:val="singleLevel"/>
    <w:tmpl w:val="7A4FE481"/>
    <w:lvl w:ilvl="0" w:tentative="0">
      <w:start w:val="1"/>
      <w:numFmt w:val="decimal"/>
      <w:lvlText w:val="%1."/>
      <w:lvlJc w:val="left"/>
      <w:pPr>
        <w:ind w:left="645" w:hanging="425"/>
      </w:pPr>
      <w:rPr>
        <w:rFonts w:hint="default"/>
      </w:rPr>
    </w:lvl>
  </w:abstractNum>
  <w:num w:numId="1">
    <w:abstractNumId w:val="9"/>
  </w:num>
  <w:num w:numId="2">
    <w:abstractNumId w:val="2"/>
  </w:num>
  <w:num w:numId="3">
    <w:abstractNumId w:val="6"/>
  </w:num>
  <w:num w:numId="4">
    <w:abstractNumId w:val="10"/>
  </w:num>
  <w:num w:numId="5">
    <w:abstractNumId w:val="11"/>
  </w:num>
  <w:num w:numId="6">
    <w:abstractNumId w:val="7"/>
  </w:num>
  <w:num w:numId="7">
    <w:abstractNumId w:val="12"/>
  </w:num>
  <w:num w:numId="8">
    <w:abstractNumId w:val="4"/>
  </w:num>
  <w:num w:numId="9">
    <w:abstractNumId w:val="0"/>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jI4Yzk5M2JjNmMyYzRlYmZkNmIxMjg3NzFiMTUifQ=="/>
    <w:docVar w:name="KSO_WPS_MARK_KEY" w:val="e816c5ba-36d8-4a46-8904-40b8c3c2d643"/>
  </w:docVars>
  <w:rsids>
    <w:rsidRoot w:val="00000000"/>
    <w:rsid w:val="05CE074D"/>
    <w:rsid w:val="0BEE24FD"/>
    <w:rsid w:val="0C4F74F5"/>
    <w:rsid w:val="1ADF5779"/>
    <w:rsid w:val="1DCB344B"/>
    <w:rsid w:val="23983A20"/>
    <w:rsid w:val="270316D2"/>
    <w:rsid w:val="2A6D542E"/>
    <w:rsid w:val="2A7D74CC"/>
    <w:rsid w:val="2BE709E9"/>
    <w:rsid w:val="2C26209E"/>
    <w:rsid w:val="2C7377B0"/>
    <w:rsid w:val="2EDF49CC"/>
    <w:rsid w:val="33401F60"/>
    <w:rsid w:val="358E4FF0"/>
    <w:rsid w:val="399A3BF6"/>
    <w:rsid w:val="3A023508"/>
    <w:rsid w:val="3CCA034E"/>
    <w:rsid w:val="3D600CB3"/>
    <w:rsid w:val="417E5BAB"/>
    <w:rsid w:val="44C4421D"/>
    <w:rsid w:val="4BFA0524"/>
    <w:rsid w:val="4C43011D"/>
    <w:rsid w:val="528172AA"/>
    <w:rsid w:val="53C72C1C"/>
    <w:rsid w:val="54174DA1"/>
    <w:rsid w:val="57A31A70"/>
    <w:rsid w:val="5B775CD5"/>
    <w:rsid w:val="5B8B58A6"/>
    <w:rsid w:val="5BC70423"/>
    <w:rsid w:val="5C585BAE"/>
    <w:rsid w:val="61361EB2"/>
    <w:rsid w:val="61BF42CC"/>
    <w:rsid w:val="642A51C5"/>
    <w:rsid w:val="662F5543"/>
    <w:rsid w:val="693E3CEF"/>
    <w:rsid w:val="69C266CE"/>
    <w:rsid w:val="6AF01018"/>
    <w:rsid w:val="729624A5"/>
    <w:rsid w:val="74C5245B"/>
    <w:rsid w:val="74FD05BA"/>
    <w:rsid w:val="759F78C3"/>
    <w:rsid w:val="7A1940E8"/>
    <w:rsid w:val="7B613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3"/>
      <w:ind w:left="637" w:hanging="319"/>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4354</Words>
  <Characters>4588</Characters>
  <TotalTime>43</TotalTime>
  <ScaleCrop>false</ScaleCrop>
  <LinksUpToDate>false</LinksUpToDate>
  <CharactersWithSpaces>4811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2025-02-25T02:49:00Z</dcterms:created>
  <dc:creator>win</dc:creator>
  <cp:lastModifiedBy>金水相涵</cp:lastModifiedBy>
  <dcterms:modified xsi:type="dcterms:W3CDTF">2025-09-30T09:19:49Z</dcterms:modified>
  <dc:title>东南大学人文学院研究生学业奖学金评审细则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KSOProductBuildVer">
    <vt:lpwstr>2052-12.1.0.22529</vt:lpwstr>
  </property>
  <property fmtid="{D5CDD505-2E9C-101B-9397-08002B2CF9AE}" pid="6" name="ICV">
    <vt:lpwstr>A842E7C2CFB840A0A8B320485080D59C_13</vt:lpwstr>
  </property>
  <property fmtid="{D5CDD505-2E9C-101B-9397-08002B2CF9AE}" pid="7" name="KSOTemplateDocerSaveRecord">
    <vt:lpwstr>eyJoZGlkIjoiYzMxMzdmOGZmOGYzMWUwOTJmNDUzZmQzZDhkOGU2N2QiLCJ1c2VySWQiOiI1Mjg2NDg4OTAifQ==</vt:lpwstr>
  </property>
</Properties>
</file>